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5A5EF" w14:textId="77777777" w:rsidR="00CE33BF" w:rsidRDefault="00C07479">
      <w:pPr>
        <w:pStyle w:val="Title"/>
      </w:pPr>
      <w:r>
        <w:t>[ORGANIZATION]</w:t>
      </w:r>
    </w:p>
    <w:p w14:paraId="3FCB7B85" w14:textId="77777777" w:rsidR="00CE33BF" w:rsidRDefault="00C07479">
      <w:pPr>
        <w:pStyle w:val="Title"/>
        <w:rPr>
          <w:color w:val="000000"/>
        </w:rPr>
      </w:pPr>
      <w:r>
        <w:rPr>
          <w:color w:val="000000"/>
        </w:rPr>
        <w:t>INFORMATION SECURITY PLAN</w:t>
      </w:r>
    </w:p>
    <w:p w14:paraId="7C4E71E8" w14:textId="77777777" w:rsidR="00CE33BF" w:rsidRDefault="00C07479">
      <w:pPr>
        <w:pStyle w:val="Heading1"/>
      </w:pPr>
      <w:r>
        <w:t>PURPOSE</w:t>
      </w:r>
    </w:p>
    <w:p w14:paraId="6874D441" w14:textId="77777777" w:rsidR="00CE33BF" w:rsidRDefault="00C07479" w:rsidP="001D5217">
      <w:r>
        <w:t xml:space="preserve">The purpose of this Information Security Plan (Plan) is to attest that safeguards are implemented to ensure the ongoing Confidentiality, Integrity, and Availability of </w:t>
      </w:r>
      <w:r>
        <w:rPr>
          <w:color w:val="0000FF"/>
        </w:rPr>
        <w:t>[Organization]</w:t>
      </w:r>
      <w:r>
        <w:t>’s critical information assets in compliance with</w:t>
      </w:r>
      <w:hyperlink r:id="rId8">
        <w:r>
          <w:rPr>
            <w:color w:val="1155CC"/>
            <w:u w:val="single"/>
          </w:rPr>
          <w:t xml:space="preserve"> Administrative Policy Statement 2.6</w:t>
        </w:r>
      </w:hyperlink>
      <w:r>
        <w:t xml:space="preserve">.  </w:t>
      </w:r>
    </w:p>
    <w:p w14:paraId="64FFAEEF" w14:textId="77777777" w:rsidR="00CE33BF" w:rsidRDefault="00CE33BF"/>
    <w:p w14:paraId="3FE6E130" w14:textId="77777777" w:rsidR="00CE33BF" w:rsidRDefault="00C07479">
      <w:pPr>
        <w:rPr>
          <w:color w:val="FF0000"/>
        </w:rPr>
      </w:pPr>
      <w:r>
        <w:rPr>
          <w:color w:val="FF0000"/>
        </w:rPr>
        <w:t xml:space="preserve">NOTE: When filled out, this document or information therein is classified as Restricted and may be exempted from a public records request </w:t>
      </w:r>
      <w:proofErr w:type="gramStart"/>
      <w:r>
        <w:rPr>
          <w:color w:val="FF0000"/>
        </w:rPr>
        <w:t>on the basis of</w:t>
      </w:r>
      <w:proofErr w:type="gramEnd"/>
      <w:r>
        <w:rPr>
          <w:color w:val="FF0000"/>
        </w:rPr>
        <w:t xml:space="preserve"> security; pursuant to RCW 42.56.420.</w:t>
      </w:r>
    </w:p>
    <w:p w14:paraId="1759CA87" w14:textId="77777777" w:rsidR="00CE33BF" w:rsidRDefault="00C07479">
      <w:pPr>
        <w:pStyle w:val="Heading1"/>
      </w:pPr>
      <w:r>
        <w:t>SCOPE</w:t>
      </w:r>
    </w:p>
    <w:p w14:paraId="6ABB5995" w14:textId="77777777" w:rsidR="00CE33BF" w:rsidRDefault="00C07479">
      <w:pPr>
        <w:pStyle w:val="Heading2"/>
      </w:pPr>
      <w:r>
        <w:t>Organization</w:t>
      </w:r>
    </w:p>
    <w:tbl>
      <w:tblPr>
        <w:tblStyle w:val="TableGrid"/>
        <w:tblW w:w="0" w:type="auto"/>
        <w:tblLook w:val="04A0" w:firstRow="1" w:lastRow="0" w:firstColumn="1" w:lastColumn="0" w:noHBand="0" w:noVBand="1"/>
      </w:tblPr>
      <w:tblGrid>
        <w:gridCol w:w="9350"/>
      </w:tblGrid>
      <w:tr w:rsidR="002F3372" w14:paraId="7B723D56" w14:textId="77777777" w:rsidTr="002F3372">
        <w:trPr>
          <w:trHeight w:val="3752"/>
        </w:trPr>
        <w:tc>
          <w:tcPr>
            <w:tcW w:w="9350" w:type="dxa"/>
          </w:tcPr>
          <w:p w14:paraId="1AE26CBD" w14:textId="69052B3C" w:rsidR="002F3372" w:rsidRPr="002F3372" w:rsidRDefault="002F3372">
            <w:r>
              <w:rPr>
                <w:color w:val="0000FF"/>
              </w:rPr>
              <w:t>[Include a brief description of the organization and its mission. Identify subordinate organizations and indicate if their assets are covered by this Plan or if they have their own security plans.]</w:t>
            </w:r>
          </w:p>
        </w:tc>
      </w:tr>
    </w:tbl>
    <w:p w14:paraId="38DC0312" w14:textId="77777777" w:rsidR="00CE33BF" w:rsidRDefault="00C07479">
      <w:pPr>
        <w:pStyle w:val="Heading2"/>
      </w:pPr>
      <w:bookmarkStart w:id="0" w:name="_1fob9te" w:colFirst="0" w:colLast="0"/>
      <w:bookmarkEnd w:id="0"/>
      <w:r>
        <w:t>Critical Assets</w:t>
      </w:r>
    </w:p>
    <w:p w14:paraId="6B6E9EBB" w14:textId="62ABB94A" w:rsidR="00CE33BF" w:rsidRDefault="00C07479">
      <w:r>
        <w:t xml:space="preserve">The term “critical asset” refers to any </w:t>
      </w:r>
      <w:r>
        <w:rPr>
          <w:color w:val="0000FF"/>
        </w:rPr>
        <w:t xml:space="preserve">[Organization] </w:t>
      </w:r>
      <w:r>
        <w:t xml:space="preserve">hardware, software, or other information technology component that stores or processes </w:t>
      </w:r>
      <w:r>
        <w:rPr>
          <w:b/>
        </w:rPr>
        <w:t>UW Confidential</w:t>
      </w:r>
      <w:r>
        <w:t xml:space="preserve"> or </w:t>
      </w:r>
      <w:r>
        <w:rPr>
          <w:b/>
        </w:rPr>
        <w:t>Restricted</w:t>
      </w:r>
      <w:r>
        <w:t xml:space="preserve"> data. List critical assets that are in scope for the Plan below and mark the associated data classification. For more information see:</w:t>
      </w:r>
      <w:r>
        <w:rPr>
          <w:b/>
          <w:color w:val="1155CC"/>
          <w:u w:val="single"/>
        </w:rPr>
        <w:t xml:space="preserve"> </w:t>
      </w:r>
      <w:hyperlink r:id="rId9">
        <w:r>
          <w:rPr>
            <w:b/>
            <w:color w:val="1155CC"/>
            <w:u w:val="single"/>
          </w:rPr>
          <w:t>Data Classifications</w:t>
        </w:r>
      </w:hyperlink>
      <w:r>
        <w:t>.</w:t>
      </w:r>
    </w:p>
    <w:p w14:paraId="0DCC59EF" w14:textId="77777777" w:rsidR="00CE33BF" w:rsidRDefault="00CE33BF">
      <w:pPr>
        <w:rPr>
          <w:i/>
          <w:color w:val="0000FF"/>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0"/>
        <w:gridCol w:w="1800"/>
        <w:gridCol w:w="1260"/>
      </w:tblGrid>
      <w:tr w:rsidR="00CE33BF" w14:paraId="36F3FD59" w14:textId="77777777">
        <w:tc>
          <w:tcPr>
            <w:tcW w:w="6300" w:type="dxa"/>
            <w:shd w:val="clear" w:color="auto" w:fill="000000"/>
          </w:tcPr>
          <w:p w14:paraId="73A2CBCF" w14:textId="77777777" w:rsidR="00CE33BF" w:rsidRDefault="00C07479">
            <w:pPr>
              <w:rPr>
                <w:b/>
                <w:color w:val="FFFFFF"/>
              </w:rPr>
            </w:pPr>
            <w:r>
              <w:rPr>
                <w:b/>
                <w:color w:val="FFFFFF"/>
              </w:rPr>
              <w:t>Asset Name</w:t>
            </w:r>
          </w:p>
        </w:tc>
        <w:tc>
          <w:tcPr>
            <w:tcW w:w="1800" w:type="dxa"/>
            <w:shd w:val="clear" w:color="auto" w:fill="000000"/>
          </w:tcPr>
          <w:p w14:paraId="4771C7EC" w14:textId="77777777" w:rsidR="00CE33BF" w:rsidRDefault="00C07479">
            <w:pPr>
              <w:rPr>
                <w:b/>
                <w:color w:val="FFFFFF"/>
              </w:rPr>
            </w:pPr>
            <w:r>
              <w:rPr>
                <w:b/>
                <w:color w:val="FFFFFF"/>
              </w:rPr>
              <w:t>UW Confidential</w:t>
            </w:r>
          </w:p>
        </w:tc>
        <w:tc>
          <w:tcPr>
            <w:tcW w:w="1260" w:type="dxa"/>
            <w:shd w:val="clear" w:color="auto" w:fill="000000"/>
          </w:tcPr>
          <w:p w14:paraId="730F8F29" w14:textId="77777777" w:rsidR="00CE33BF" w:rsidRDefault="00C07479">
            <w:pPr>
              <w:rPr>
                <w:b/>
                <w:color w:val="FFFFFF"/>
              </w:rPr>
            </w:pPr>
            <w:r>
              <w:rPr>
                <w:b/>
                <w:color w:val="FFFFFF"/>
              </w:rPr>
              <w:t>Restricted</w:t>
            </w:r>
          </w:p>
        </w:tc>
      </w:tr>
      <w:tr w:rsidR="001D5217" w14:paraId="633A53C8" w14:textId="77777777">
        <w:trPr>
          <w:cantSplit/>
        </w:trPr>
        <w:tc>
          <w:tcPr>
            <w:tcW w:w="6300" w:type="dxa"/>
          </w:tcPr>
          <w:p w14:paraId="494B1713" w14:textId="77777777" w:rsidR="001D5217" w:rsidRDefault="001D5217" w:rsidP="001D5217"/>
        </w:tc>
        <w:tc>
          <w:tcPr>
            <w:tcW w:w="1800" w:type="dxa"/>
          </w:tcPr>
          <w:p w14:paraId="60C10247" w14:textId="3801CCE6" w:rsidR="001D5217" w:rsidRDefault="001D5217" w:rsidP="001D5217">
            <w:pPr>
              <w:ind w:left="360"/>
            </w:pPr>
            <w:r>
              <w:fldChar w:fldCharType="begin">
                <w:ffData>
                  <w:name w:val="Check1"/>
                  <w:enabled/>
                  <w:calcOnExit w:val="0"/>
                  <w:checkBox>
                    <w:sizeAuto/>
                    <w:default w:val="0"/>
                  </w:checkBox>
                </w:ffData>
              </w:fldChar>
            </w:r>
            <w:r>
              <w:instrText xml:space="preserve"> </w:instrText>
            </w:r>
            <w:bookmarkStart w:id="1" w:name="Check1"/>
            <w:r>
              <w:instrText xml:space="preserve">FORMCHECKBOX </w:instrText>
            </w:r>
            <w:r w:rsidR="00405673">
              <w:fldChar w:fldCharType="separate"/>
            </w:r>
            <w:r>
              <w:fldChar w:fldCharType="end"/>
            </w:r>
            <w:bookmarkEnd w:id="1"/>
          </w:p>
        </w:tc>
        <w:tc>
          <w:tcPr>
            <w:tcW w:w="1260" w:type="dxa"/>
          </w:tcPr>
          <w:p w14:paraId="6781377B" w14:textId="76AC0791"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7626E82A" w14:textId="77777777">
        <w:tc>
          <w:tcPr>
            <w:tcW w:w="6300" w:type="dxa"/>
          </w:tcPr>
          <w:p w14:paraId="4FAD014A" w14:textId="77777777" w:rsidR="001D5217" w:rsidRDefault="001D5217" w:rsidP="001D5217"/>
        </w:tc>
        <w:tc>
          <w:tcPr>
            <w:tcW w:w="1800" w:type="dxa"/>
          </w:tcPr>
          <w:p w14:paraId="3B17415C" w14:textId="23D1EDC8"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06333939" w14:textId="71967CE7"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47437FB8" w14:textId="77777777">
        <w:tc>
          <w:tcPr>
            <w:tcW w:w="6300" w:type="dxa"/>
          </w:tcPr>
          <w:p w14:paraId="4DA596C2" w14:textId="77777777" w:rsidR="001D5217" w:rsidRDefault="001D5217" w:rsidP="001D5217"/>
        </w:tc>
        <w:tc>
          <w:tcPr>
            <w:tcW w:w="1800" w:type="dxa"/>
          </w:tcPr>
          <w:p w14:paraId="649561EC" w14:textId="6DC08AA0"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51DA8595" w14:textId="57F5AAE9"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53CD28DB" w14:textId="77777777">
        <w:tc>
          <w:tcPr>
            <w:tcW w:w="6300" w:type="dxa"/>
          </w:tcPr>
          <w:p w14:paraId="0387807A" w14:textId="77777777" w:rsidR="001D5217" w:rsidRDefault="001D5217" w:rsidP="001D5217"/>
        </w:tc>
        <w:tc>
          <w:tcPr>
            <w:tcW w:w="1800" w:type="dxa"/>
          </w:tcPr>
          <w:p w14:paraId="00587881" w14:textId="3C9E7518"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5D139878" w14:textId="56803A05"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4BB40AC4" w14:textId="77777777">
        <w:tc>
          <w:tcPr>
            <w:tcW w:w="6300" w:type="dxa"/>
          </w:tcPr>
          <w:p w14:paraId="00A54C0E" w14:textId="77777777" w:rsidR="001D5217" w:rsidRDefault="001D5217" w:rsidP="001D5217"/>
        </w:tc>
        <w:tc>
          <w:tcPr>
            <w:tcW w:w="1800" w:type="dxa"/>
          </w:tcPr>
          <w:p w14:paraId="6063572D" w14:textId="3F5437D2"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5E144BFD" w14:textId="518DE3B5"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589FD1EE" w14:textId="77777777">
        <w:tc>
          <w:tcPr>
            <w:tcW w:w="6300" w:type="dxa"/>
          </w:tcPr>
          <w:p w14:paraId="550DE395" w14:textId="77777777" w:rsidR="001D5217" w:rsidRDefault="001D5217" w:rsidP="001D5217"/>
        </w:tc>
        <w:tc>
          <w:tcPr>
            <w:tcW w:w="1800" w:type="dxa"/>
          </w:tcPr>
          <w:p w14:paraId="10E0B7EE" w14:textId="7EA70A6C"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17FCCF0D" w14:textId="0FE4CEA4"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50268B8B" w14:textId="77777777">
        <w:tc>
          <w:tcPr>
            <w:tcW w:w="6300" w:type="dxa"/>
          </w:tcPr>
          <w:p w14:paraId="064577BF" w14:textId="77777777" w:rsidR="001D5217" w:rsidRDefault="001D5217" w:rsidP="001D5217"/>
        </w:tc>
        <w:tc>
          <w:tcPr>
            <w:tcW w:w="1800" w:type="dxa"/>
          </w:tcPr>
          <w:p w14:paraId="320F9D86" w14:textId="0251B1FD"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1C1AEDEE" w14:textId="19EAC7BC"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7E5D531B" w14:textId="77777777">
        <w:tc>
          <w:tcPr>
            <w:tcW w:w="6300" w:type="dxa"/>
          </w:tcPr>
          <w:p w14:paraId="71C4234B" w14:textId="77777777" w:rsidR="001D5217" w:rsidRDefault="001D5217" w:rsidP="001D5217"/>
        </w:tc>
        <w:tc>
          <w:tcPr>
            <w:tcW w:w="1800" w:type="dxa"/>
          </w:tcPr>
          <w:p w14:paraId="0C8ADF3F" w14:textId="30EB4626"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46A3360C" w14:textId="315BDFBB"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4E1755A8" w14:textId="77777777">
        <w:tc>
          <w:tcPr>
            <w:tcW w:w="6300" w:type="dxa"/>
          </w:tcPr>
          <w:p w14:paraId="5D4A3076" w14:textId="77777777" w:rsidR="001D5217" w:rsidRDefault="001D5217" w:rsidP="001D5217"/>
        </w:tc>
        <w:tc>
          <w:tcPr>
            <w:tcW w:w="1800" w:type="dxa"/>
          </w:tcPr>
          <w:p w14:paraId="0232103D" w14:textId="0520154F"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55A5A0D1" w14:textId="006F7145"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5AC840AB" w14:textId="77777777">
        <w:tc>
          <w:tcPr>
            <w:tcW w:w="6300" w:type="dxa"/>
          </w:tcPr>
          <w:p w14:paraId="703DF5CE" w14:textId="77777777" w:rsidR="001D5217" w:rsidRDefault="001D5217" w:rsidP="001D5217"/>
        </w:tc>
        <w:tc>
          <w:tcPr>
            <w:tcW w:w="1800" w:type="dxa"/>
          </w:tcPr>
          <w:p w14:paraId="140BCFA2" w14:textId="792DE361"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c>
          <w:tcPr>
            <w:tcW w:w="1260" w:type="dxa"/>
          </w:tcPr>
          <w:p w14:paraId="24292DA1" w14:textId="4953B367" w:rsidR="001D5217" w:rsidRDefault="001D5217" w:rsidP="001D5217">
            <w:pPr>
              <w:ind w:left="360"/>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bl>
    <w:p w14:paraId="4F65CF64" w14:textId="77777777" w:rsidR="00CE33BF" w:rsidRDefault="00C07479">
      <w:pPr>
        <w:pStyle w:val="Heading1"/>
      </w:pPr>
      <w:r>
        <w:lastRenderedPageBreak/>
        <w:t>CONTROLS</w:t>
      </w:r>
    </w:p>
    <w:p w14:paraId="0FD1FF0E" w14:textId="77777777" w:rsidR="00CE33BF" w:rsidRDefault="00C07479">
      <w:pPr>
        <w:rPr>
          <w:b/>
        </w:rPr>
      </w:pPr>
      <w:r>
        <w:t xml:space="preserve">The following security controls demonstrate, at a high-level, how </w:t>
      </w:r>
      <w:r>
        <w:rPr>
          <w:color w:val="0000FF"/>
        </w:rPr>
        <w:t>[Organization]</w:t>
      </w:r>
      <w:r>
        <w:t xml:space="preserve"> protects its critical assets, as well as detects, responds, and recovers from incidents. Mark the controls that are performed by the organization or on behalf of the organization (e.g., by UW-IT or by a vendor). See the </w:t>
      </w:r>
      <w:hyperlink r:id="rId10">
        <w:r>
          <w:rPr>
            <w:b/>
            <w:color w:val="1155CC"/>
            <w:u w:val="single"/>
          </w:rPr>
          <w:t>Information Security Guideline</w:t>
        </w:r>
      </w:hyperlink>
      <w:r>
        <w:t xml:space="preserve"> for more details on individual controls.</w:t>
      </w:r>
    </w:p>
    <w:p w14:paraId="063279C1" w14:textId="77777777" w:rsidR="00CE33BF" w:rsidRDefault="00CE33BF">
      <w:pPr>
        <w:rPr>
          <w: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5"/>
        <w:gridCol w:w="1665"/>
      </w:tblGrid>
      <w:tr w:rsidR="00CE33BF" w14:paraId="508C84FD" w14:textId="77777777">
        <w:trPr>
          <w:trHeight w:val="400"/>
        </w:trPr>
        <w:tc>
          <w:tcPr>
            <w:tcW w:w="7695" w:type="dxa"/>
            <w:shd w:val="clear" w:color="auto" w:fill="000000"/>
            <w:tcMar>
              <w:top w:w="100" w:type="dxa"/>
              <w:left w:w="100" w:type="dxa"/>
              <w:bottom w:w="100" w:type="dxa"/>
              <w:right w:w="100" w:type="dxa"/>
            </w:tcMar>
          </w:tcPr>
          <w:p w14:paraId="5975A765" w14:textId="77777777" w:rsidR="00CE33BF" w:rsidRDefault="00C07479">
            <w:pPr>
              <w:rPr>
                <w:b/>
                <w:color w:val="FFFFFF"/>
              </w:rPr>
            </w:pPr>
            <w:r>
              <w:rPr>
                <w:b/>
                <w:color w:val="FFFFFF"/>
              </w:rPr>
              <w:t>General Operational Controls</w:t>
            </w:r>
          </w:p>
        </w:tc>
        <w:tc>
          <w:tcPr>
            <w:tcW w:w="1665" w:type="dxa"/>
            <w:shd w:val="clear" w:color="auto" w:fill="000000"/>
            <w:tcMar>
              <w:top w:w="100" w:type="dxa"/>
              <w:left w:w="100" w:type="dxa"/>
              <w:bottom w:w="100" w:type="dxa"/>
              <w:right w:w="100" w:type="dxa"/>
            </w:tcMar>
          </w:tcPr>
          <w:p w14:paraId="11A3B612" w14:textId="77777777" w:rsidR="00CE33BF" w:rsidRDefault="00C07479">
            <w:pPr>
              <w:widowControl w:val="0"/>
              <w:pBdr>
                <w:top w:val="nil"/>
                <w:left w:val="nil"/>
                <w:bottom w:val="nil"/>
                <w:right w:val="nil"/>
                <w:between w:val="nil"/>
              </w:pBdr>
              <w:rPr>
                <w:b/>
                <w:color w:val="FFFFFF"/>
              </w:rPr>
            </w:pPr>
            <w:r>
              <w:rPr>
                <w:b/>
                <w:color w:val="FFFFFF"/>
              </w:rPr>
              <w:t>Performed</w:t>
            </w:r>
          </w:p>
        </w:tc>
      </w:tr>
      <w:tr w:rsidR="001D5217" w14:paraId="5A3B0250" w14:textId="77777777">
        <w:tc>
          <w:tcPr>
            <w:tcW w:w="7695" w:type="dxa"/>
            <w:shd w:val="clear" w:color="auto" w:fill="auto"/>
            <w:tcMar>
              <w:top w:w="100" w:type="dxa"/>
              <w:left w:w="100" w:type="dxa"/>
              <w:bottom w:w="100" w:type="dxa"/>
              <w:right w:w="100" w:type="dxa"/>
            </w:tcMar>
          </w:tcPr>
          <w:p w14:paraId="39D6BD72" w14:textId="77777777" w:rsidR="001D5217" w:rsidRDefault="001D5217" w:rsidP="001D5217">
            <w:pPr>
              <w:rPr>
                <w:b/>
              </w:rPr>
            </w:pPr>
            <w:r>
              <w:t>A change and configuration management process</w:t>
            </w:r>
          </w:p>
        </w:tc>
        <w:tc>
          <w:tcPr>
            <w:tcW w:w="1665" w:type="dxa"/>
            <w:shd w:val="clear" w:color="auto" w:fill="auto"/>
            <w:tcMar>
              <w:top w:w="100" w:type="dxa"/>
              <w:left w:w="100" w:type="dxa"/>
              <w:bottom w:w="100" w:type="dxa"/>
              <w:right w:w="100" w:type="dxa"/>
            </w:tcMar>
          </w:tcPr>
          <w:p w14:paraId="7E2E8897" w14:textId="0379BB67" w:rsidR="001D5217" w:rsidRDefault="001D5217" w:rsidP="001D5217">
            <w:pPr>
              <w:widowControl w:val="0"/>
              <w:pBdr>
                <w:top w:val="nil"/>
                <w:left w:val="nil"/>
                <w:bottom w:val="nil"/>
                <w:right w:val="nil"/>
                <w:between w:val="nil"/>
              </w:pBdr>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29375889" w14:textId="77777777">
        <w:tc>
          <w:tcPr>
            <w:tcW w:w="7695" w:type="dxa"/>
            <w:shd w:val="clear" w:color="auto" w:fill="auto"/>
            <w:tcMar>
              <w:top w:w="100" w:type="dxa"/>
              <w:left w:w="100" w:type="dxa"/>
              <w:bottom w:w="100" w:type="dxa"/>
              <w:right w:w="100" w:type="dxa"/>
            </w:tcMar>
          </w:tcPr>
          <w:p w14:paraId="24D4A1D6" w14:textId="77777777" w:rsidR="001D5217" w:rsidRDefault="001D5217" w:rsidP="001D5217">
            <w:pPr>
              <w:rPr>
                <w:b/>
              </w:rPr>
            </w:pPr>
            <w:r>
              <w:t>A flaw remediation process</w:t>
            </w:r>
          </w:p>
        </w:tc>
        <w:tc>
          <w:tcPr>
            <w:tcW w:w="1665" w:type="dxa"/>
            <w:shd w:val="clear" w:color="auto" w:fill="auto"/>
            <w:tcMar>
              <w:top w:w="100" w:type="dxa"/>
              <w:left w:w="100" w:type="dxa"/>
              <w:bottom w:w="100" w:type="dxa"/>
              <w:right w:w="100" w:type="dxa"/>
            </w:tcMar>
          </w:tcPr>
          <w:p w14:paraId="0C51625E" w14:textId="230E8A96"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1ED8CFB8" w14:textId="77777777">
        <w:tc>
          <w:tcPr>
            <w:tcW w:w="7695" w:type="dxa"/>
            <w:shd w:val="clear" w:color="auto" w:fill="auto"/>
            <w:tcMar>
              <w:top w:w="100" w:type="dxa"/>
              <w:left w:w="100" w:type="dxa"/>
              <w:bottom w:w="100" w:type="dxa"/>
              <w:right w:w="100" w:type="dxa"/>
            </w:tcMar>
          </w:tcPr>
          <w:p w14:paraId="4B4C55F0" w14:textId="77777777" w:rsidR="001D5217" w:rsidRDefault="001D5217" w:rsidP="001D5217">
            <w:pPr>
              <w:rPr>
                <w:b/>
              </w:rPr>
            </w:pPr>
            <w:r>
              <w:t>A malicious code and unauthorized software countermeasure process</w:t>
            </w:r>
          </w:p>
        </w:tc>
        <w:tc>
          <w:tcPr>
            <w:tcW w:w="1665" w:type="dxa"/>
            <w:shd w:val="clear" w:color="auto" w:fill="auto"/>
            <w:tcMar>
              <w:top w:w="100" w:type="dxa"/>
              <w:left w:w="100" w:type="dxa"/>
              <w:bottom w:w="100" w:type="dxa"/>
              <w:right w:w="100" w:type="dxa"/>
            </w:tcMar>
          </w:tcPr>
          <w:p w14:paraId="4A89ADAE" w14:textId="6B240A09"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4D4EAC29" w14:textId="77777777">
        <w:tc>
          <w:tcPr>
            <w:tcW w:w="7695" w:type="dxa"/>
            <w:shd w:val="clear" w:color="auto" w:fill="auto"/>
            <w:tcMar>
              <w:top w:w="100" w:type="dxa"/>
              <w:left w:w="100" w:type="dxa"/>
              <w:bottom w:w="100" w:type="dxa"/>
              <w:right w:w="100" w:type="dxa"/>
            </w:tcMar>
          </w:tcPr>
          <w:p w14:paraId="7EA581B5" w14:textId="77777777" w:rsidR="001D5217" w:rsidRDefault="001D5217" w:rsidP="001D5217">
            <w:pPr>
              <w:rPr>
                <w:b/>
              </w:rPr>
            </w:pPr>
            <w:r>
              <w:t>A data protection and destruction process</w:t>
            </w:r>
          </w:p>
        </w:tc>
        <w:tc>
          <w:tcPr>
            <w:tcW w:w="1665" w:type="dxa"/>
            <w:shd w:val="clear" w:color="auto" w:fill="auto"/>
            <w:tcMar>
              <w:top w:w="100" w:type="dxa"/>
              <w:left w:w="100" w:type="dxa"/>
              <w:bottom w:w="100" w:type="dxa"/>
              <w:right w:w="100" w:type="dxa"/>
            </w:tcMar>
          </w:tcPr>
          <w:p w14:paraId="2E6E01FA" w14:textId="3E4244D9"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1CB763D9" w14:textId="77777777">
        <w:tc>
          <w:tcPr>
            <w:tcW w:w="7695" w:type="dxa"/>
            <w:shd w:val="clear" w:color="auto" w:fill="auto"/>
            <w:tcMar>
              <w:top w:w="100" w:type="dxa"/>
              <w:left w:w="100" w:type="dxa"/>
              <w:bottom w:w="100" w:type="dxa"/>
              <w:right w:w="100" w:type="dxa"/>
            </w:tcMar>
          </w:tcPr>
          <w:p w14:paraId="5E2F80A7" w14:textId="77777777" w:rsidR="001D5217" w:rsidRDefault="001D5217" w:rsidP="001D5217">
            <w:pPr>
              <w:rPr>
                <w:b/>
              </w:rPr>
            </w:pPr>
            <w:r>
              <w:t>Secure development practices</w:t>
            </w:r>
          </w:p>
        </w:tc>
        <w:tc>
          <w:tcPr>
            <w:tcW w:w="1665" w:type="dxa"/>
            <w:shd w:val="clear" w:color="auto" w:fill="auto"/>
            <w:tcMar>
              <w:top w:w="100" w:type="dxa"/>
              <w:left w:w="100" w:type="dxa"/>
              <w:bottom w:w="100" w:type="dxa"/>
              <w:right w:w="100" w:type="dxa"/>
            </w:tcMar>
          </w:tcPr>
          <w:p w14:paraId="5F6765C0" w14:textId="3E1C6153"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6CC94AA8" w14:textId="77777777">
        <w:tc>
          <w:tcPr>
            <w:tcW w:w="7695" w:type="dxa"/>
            <w:shd w:val="clear" w:color="auto" w:fill="auto"/>
            <w:tcMar>
              <w:top w:w="100" w:type="dxa"/>
              <w:left w:w="100" w:type="dxa"/>
              <w:bottom w:w="100" w:type="dxa"/>
              <w:right w:w="100" w:type="dxa"/>
            </w:tcMar>
          </w:tcPr>
          <w:p w14:paraId="427E414A" w14:textId="77777777" w:rsidR="001D5217" w:rsidRDefault="001D5217" w:rsidP="001D5217">
            <w:pPr>
              <w:rPr>
                <w:b/>
              </w:rPr>
            </w:pPr>
            <w:r>
              <w:t>Backup and recovery processes for critical information and software</w:t>
            </w:r>
          </w:p>
        </w:tc>
        <w:tc>
          <w:tcPr>
            <w:tcW w:w="1665" w:type="dxa"/>
            <w:shd w:val="clear" w:color="auto" w:fill="auto"/>
            <w:tcMar>
              <w:top w:w="100" w:type="dxa"/>
              <w:left w:w="100" w:type="dxa"/>
              <w:bottom w:w="100" w:type="dxa"/>
              <w:right w:w="100" w:type="dxa"/>
            </w:tcMar>
          </w:tcPr>
          <w:p w14:paraId="009B9C56" w14:textId="4A687818"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2F372AC6" w14:textId="77777777">
        <w:tc>
          <w:tcPr>
            <w:tcW w:w="7695" w:type="dxa"/>
            <w:shd w:val="clear" w:color="auto" w:fill="auto"/>
            <w:tcMar>
              <w:top w:w="100" w:type="dxa"/>
              <w:left w:w="100" w:type="dxa"/>
              <w:bottom w:w="100" w:type="dxa"/>
              <w:right w:w="100" w:type="dxa"/>
            </w:tcMar>
          </w:tcPr>
          <w:p w14:paraId="014210D0" w14:textId="77777777" w:rsidR="001D5217" w:rsidRDefault="001D5217" w:rsidP="001D5217">
            <w:pPr>
              <w:rPr>
                <w:b/>
              </w:rPr>
            </w:pPr>
            <w:r>
              <w:t>A business continuity and disaster recovery plan</w:t>
            </w:r>
          </w:p>
        </w:tc>
        <w:tc>
          <w:tcPr>
            <w:tcW w:w="1665" w:type="dxa"/>
            <w:shd w:val="clear" w:color="auto" w:fill="auto"/>
            <w:tcMar>
              <w:top w:w="100" w:type="dxa"/>
              <w:left w:w="100" w:type="dxa"/>
              <w:bottom w:w="100" w:type="dxa"/>
              <w:right w:w="100" w:type="dxa"/>
            </w:tcMar>
          </w:tcPr>
          <w:p w14:paraId="5E8BAB4A" w14:textId="743E91C9"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76B674C1" w14:textId="77777777">
        <w:tc>
          <w:tcPr>
            <w:tcW w:w="7695" w:type="dxa"/>
            <w:shd w:val="clear" w:color="auto" w:fill="auto"/>
            <w:tcMar>
              <w:top w:w="100" w:type="dxa"/>
              <w:left w:w="100" w:type="dxa"/>
              <w:bottom w:w="100" w:type="dxa"/>
              <w:right w:w="100" w:type="dxa"/>
            </w:tcMar>
          </w:tcPr>
          <w:p w14:paraId="7270BAA7" w14:textId="77777777" w:rsidR="001D5217" w:rsidRDefault="001D5217" w:rsidP="001D5217">
            <w:pPr>
              <w:rPr>
                <w:b/>
              </w:rPr>
            </w:pPr>
            <w:r>
              <w:t>Information security technical architecture standards</w:t>
            </w:r>
          </w:p>
        </w:tc>
        <w:tc>
          <w:tcPr>
            <w:tcW w:w="1665" w:type="dxa"/>
            <w:shd w:val="clear" w:color="auto" w:fill="auto"/>
            <w:tcMar>
              <w:top w:w="100" w:type="dxa"/>
              <w:left w:w="100" w:type="dxa"/>
              <w:bottom w:w="100" w:type="dxa"/>
              <w:right w:w="100" w:type="dxa"/>
            </w:tcMar>
          </w:tcPr>
          <w:p w14:paraId="69B598DE" w14:textId="022AFF0D"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74C9E5B3" w14:textId="77777777">
        <w:tc>
          <w:tcPr>
            <w:tcW w:w="7695" w:type="dxa"/>
            <w:shd w:val="clear" w:color="auto" w:fill="auto"/>
            <w:tcMar>
              <w:top w:w="100" w:type="dxa"/>
              <w:left w:w="100" w:type="dxa"/>
              <w:bottom w:w="100" w:type="dxa"/>
              <w:right w:w="100" w:type="dxa"/>
            </w:tcMar>
          </w:tcPr>
          <w:p w14:paraId="50AA16D5" w14:textId="77777777" w:rsidR="001D5217" w:rsidRDefault="001D5217" w:rsidP="001D5217">
            <w:pPr>
              <w:rPr>
                <w:b/>
              </w:rPr>
            </w:pPr>
            <w:r>
              <w:t xml:space="preserve">System </w:t>
            </w:r>
            <w:proofErr w:type="gramStart"/>
            <w:r>
              <w:t>build</w:t>
            </w:r>
            <w:proofErr w:type="gramEnd"/>
            <w:r>
              <w:t xml:space="preserve"> and maintenance standards</w:t>
            </w:r>
          </w:p>
        </w:tc>
        <w:tc>
          <w:tcPr>
            <w:tcW w:w="1665" w:type="dxa"/>
            <w:shd w:val="clear" w:color="auto" w:fill="auto"/>
            <w:tcMar>
              <w:top w:w="100" w:type="dxa"/>
              <w:left w:w="100" w:type="dxa"/>
              <w:bottom w:w="100" w:type="dxa"/>
              <w:right w:w="100" w:type="dxa"/>
            </w:tcMar>
          </w:tcPr>
          <w:p w14:paraId="283AD9FF" w14:textId="4FAE1417"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3EDBD777" w14:textId="77777777">
        <w:tc>
          <w:tcPr>
            <w:tcW w:w="7695" w:type="dxa"/>
            <w:shd w:val="clear" w:color="auto" w:fill="auto"/>
            <w:tcMar>
              <w:top w:w="100" w:type="dxa"/>
              <w:left w:w="100" w:type="dxa"/>
              <w:bottom w:w="100" w:type="dxa"/>
              <w:right w:w="100" w:type="dxa"/>
            </w:tcMar>
          </w:tcPr>
          <w:p w14:paraId="007DEA9C" w14:textId="77777777" w:rsidR="001D5217" w:rsidRDefault="001D5217" w:rsidP="001D5217">
            <w:pPr>
              <w:rPr>
                <w:b/>
              </w:rPr>
            </w:pPr>
            <w:r>
              <w:t>Acceptable use standards</w:t>
            </w:r>
          </w:p>
        </w:tc>
        <w:tc>
          <w:tcPr>
            <w:tcW w:w="1665" w:type="dxa"/>
            <w:shd w:val="clear" w:color="auto" w:fill="auto"/>
            <w:tcMar>
              <w:top w:w="100" w:type="dxa"/>
              <w:left w:w="100" w:type="dxa"/>
              <w:bottom w:w="100" w:type="dxa"/>
              <w:right w:w="100" w:type="dxa"/>
            </w:tcMar>
          </w:tcPr>
          <w:p w14:paraId="799E0968" w14:textId="59E2350B"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bl>
    <w:p w14:paraId="12E5B8D7" w14:textId="77777777" w:rsidR="00CE33BF" w:rsidRDefault="00CE33BF">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635"/>
      </w:tblGrid>
      <w:tr w:rsidR="00CE33BF" w14:paraId="28CE2F51" w14:textId="77777777">
        <w:trPr>
          <w:trHeight w:val="400"/>
        </w:trPr>
        <w:tc>
          <w:tcPr>
            <w:tcW w:w="7725" w:type="dxa"/>
            <w:shd w:val="clear" w:color="auto" w:fill="000000"/>
            <w:tcMar>
              <w:top w:w="100" w:type="dxa"/>
              <w:left w:w="100" w:type="dxa"/>
              <w:bottom w:w="100" w:type="dxa"/>
              <w:right w:w="100" w:type="dxa"/>
            </w:tcMar>
          </w:tcPr>
          <w:p w14:paraId="11F0C3F6" w14:textId="77777777" w:rsidR="00CE33BF" w:rsidRDefault="00C07479">
            <w:pPr>
              <w:rPr>
                <w:b/>
                <w:color w:val="FFFFFF"/>
              </w:rPr>
            </w:pPr>
            <w:r>
              <w:rPr>
                <w:b/>
                <w:color w:val="FFFFFF"/>
              </w:rPr>
              <w:t>Technical Security and Access Controls</w:t>
            </w:r>
          </w:p>
        </w:tc>
        <w:tc>
          <w:tcPr>
            <w:tcW w:w="1635" w:type="dxa"/>
            <w:shd w:val="clear" w:color="auto" w:fill="000000"/>
            <w:tcMar>
              <w:top w:w="100" w:type="dxa"/>
              <w:left w:w="100" w:type="dxa"/>
              <w:bottom w:w="100" w:type="dxa"/>
              <w:right w:w="100" w:type="dxa"/>
            </w:tcMar>
          </w:tcPr>
          <w:p w14:paraId="5C9A5C27" w14:textId="77777777" w:rsidR="00CE33BF" w:rsidRDefault="00C07479">
            <w:pPr>
              <w:widowControl w:val="0"/>
              <w:rPr>
                <w:b/>
                <w:color w:val="FFFFFF"/>
              </w:rPr>
            </w:pPr>
            <w:r>
              <w:rPr>
                <w:b/>
                <w:color w:val="FFFFFF"/>
              </w:rPr>
              <w:t>Performed</w:t>
            </w:r>
          </w:p>
        </w:tc>
      </w:tr>
      <w:tr w:rsidR="001D5217" w14:paraId="7727C07A" w14:textId="77777777">
        <w:tc>
          <w:tcPr>
            <w:tcW w:w="7725" w:type="dxa"/>
            <w:shd w:val="clear" w:color="auto" w:fill="auto"/>
            <w:tcMar>
              <w:top w:w="100" w:type="dxa"/>
              <w:left w:w="100" w:type="dxa"/>
              <w:bottom w:w="100" w:type="dxa"/>
              <w:right w:w="100" w:type="dxa"/>
            </w:tcMar>
          </w:tcPr>
          <w:p w14:paraId="08FA0687" w14:textId="77777777" w:rsidR="001D5217" w:rsidRDefault="001D5217" w:rsidP="001D5217">
            <w:pPr>
              <w:rPr>
                <w:b/>
              </w:rPr>
            </w:pPr>
            <w:r>
              <w:t>Remote access process</w:t>
            </w:r>
          </w:p>
        </w:tc>
        <w:tc>
          <w:tcPr>
            <w:tcW w:w="1635" w:type="dxa"/>
            <w:shd w:val="clear" w:color="auto" w:fill="auto"/>
            <w:tcMar>
              <w:top w:w="100" w:type="dxa"/>
              <w:left w:w="100" w:type="dxa"/>
              <w:bottom w:w="100" w:type="dxa"/>
              <w:right w:w="100" w:type="dxa"/>
            </w:tcMar>
          </w:tcPr>
          <w:p w14:paraId="7AD9232F" w14:textId="728A6F1F"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4D6243E2" w14:textId="77777777">
        <w:tc>
          <w:tcPr>
            <w:tcW w:w="7725" w:type="dxa"/>
            <w:shd w:val="clear" w:color="auto" w:fill="auto"/>
            <w:tcMar>
              <w:top w:w="100" w:type="dxa"/>
              <w:left w:w="100" w:type="dxa"/>
              <w:bottom w:w="100" w:type="dxa"/>
              <w:right w:w="100" w:type="dxa"/>
            </w:tcMar>
          </w:tcPr>
          <w:p w14:paraId="4B0FF2A5" w14:textId="77777777" w:rsidR="001D5217" w:rsidRDefault="001D5217" w:rsidP="001D5217">
            <w:pPr>
              <w:rPr>
                <w:b/>
              </w:rPr>
            </w:pPr>
            <w:r>
              <w:t>Cryptographic controls for protecting data</w:t>
            </w:r>
          </w:p>
        </w:tc>
        <w:tc>
          <w:tcPr>
            <w:tcW w:w="1635" w:type="dxa"/>
            <w:shd w:val="clear" w:color="auto" w:fill="auto"/>
            <w:tcMar>
              <w:top w:w="100" w:type="dxa"/>
              <w:left w:w="100" w:type="dxa"/>
              <w:bottom w:w="100" w:type="dxa"/>
              <w:right w:w="100" w:type="dxa"/>
            </w:tcMar>
          </w:tcPr>
          <w:p w14:paraId="3DDC7431" w14:textId="79D69685"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6486C7BF" w14:textId="77777777">
        <w:tc>
          <w:tcPr>
            <w:tcW w:w="7725" w:type="dxa"/>
            <w:shd w:val="clear" w:color="auto" w:fill="auto"/>
            <w:tcMar>
              <w:top w:w="100" w:type="dxa"/>
              <w:left w:w="100" w:type="dxa"/>
              <w:bottom w:w="100" w:type="dxa"/>
              <w:right w:w="100" w:type="dxa"/>
            </w:tcMar>
          </w:tcPr>
          <w:p w14:paraId="4DD304E6" w14:textId="77777777" w:rsidR="001D5217" w:rsidRDefault="001D5217" w:rsidP="001D5217">
            <w:pPr>
              <w:rPr>
                <w:b/>
              </w:rPr>
            </w:pPr>
            <w:r>
              <w:t>An access authorization process for all users and information systems</w:t>
            </w:r>
          </w:p>
        </w:tc>
        <w:tc>
          <w:tcPr>
            <w:tcW w:w="1635" w:type="dxa"/>
            <w:shd w:val="clear" w:color="auto" w:fill="auto"/>
            <w:tcMar>
              <w:top w:w="100" w:type="dxa"/>
              <w:left w:w="100" w:type="dxa"/>
              <w:bottom w:w="100" w:type="dxa"/>
              <w:right w:w="100" w:type="dxa"/>
            </w:tcMar>
          </w:tcPr>
          <w:p w14:paraId="336FD68E" w14:textId="5ACD0ED1"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5C00C0A7" w14:textId="77777777">
        <w:tc>
          <w:tcPr>
            <w:tcW w:w="7725" w:type="dxa"/>
            <w:shd w:val="clear" w:color="auto" w:fill="auto"/>
            <w:tcMar>
              <w:top w:w="100" w:type="dxa"/>
              <w:left w:w="100" w:type="dxa"/>
              <w:bottom w:w="100" w:type="dxa"/>
              <w:right w:w="100" w:type="dxa"/>
            </w:tcMar>
          </w:tcPr>
          <w:p w14:paraId="21A9D323" w14:textId="77777777" w:rsidR="001D5217" w:rsidRDefault="001D5217" w:rsidP="001D5217">
            <w:pPr>
              <w:rPr>
                <w:b/>
              </w:rPr>
            </w:pPr>
            <w:r>
              <w:t>An authentication mechanism for all authorized users and information systems</w:t>
            </w:r>
          </w:p>
        </w:tc>
        <w:tc>
          <w:tcPr>
            <w:tcW w:w="1635" w:type="dxa"/>
            <w:shd w:val="clear" w:color="auto" w:fill="auto"/>
            <w:tcMar>
              <w:top w:w="100" w:type="dxa"/>
              <w:left w:w="100" w:type="dxa"/>
              <w:bottom w:w="100" w:type="dxa"/>
              <w:right w:w="100" w:type="dxa"/>
            </w:tcMar>
          </w:tcPr>
          <w:p w14:paraId="0B15BD03" w14:textId="2A945ADE"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148B3916" w14:textId="77777777">
        <w:tc>
          <w:tcPr>
            <w:tcW w:w="7725" w:type="dxa"/>
            <w:shd w:val="clear" w:color="auto" w:fill="auto"/>
            <w:tcMar>
              <w:top w:w="100" w:type="dxa"/>
              <w:left w:w="100" w:type="dxa"/>
              <w:bottom w:w="100" w:type="dxa"/>
              <w:right w:w="100" w:type="dxa"/>
            </w:tcMar>
          </w:tcPr>
          <w:p w14:paraId="23EBB916" w14:textId="77777777" w:rsidR="001D5217" w:rsidRDefault="001D5217" w:rsidP="001D5217">
            <w:pPr>
              <w:rPr>
                <w:b/>
              </w:rPr>
            </w:pPr>
            <w:r>
              <w:t>Network, system, and application-level protection measures.</w:t>
            </w:r>
          </w:p>
        </w:tc>
        <w:tc>
          <w:tcPr>
            <w:tcW w:w="1635" w:type="dxa"/>
            <w:shd w:val="clear" w:color="auto" w:fill="auto"/>
            <w:tcMar>
              <w:top w:w="100" w:type="dxa"/>
              <w:left w:w="100" w:type="dxa"/>
              <w:bottom w:w="100" w:type="dxa"/>
              <w:right w:w="100" w:type="dxa"/>
            </w:tcMar>
          </w:tcPr>
          <w:p w14:paraId="2528427B" w14:textId="69A3B23C"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bl>
    <w:p w14:paraId="3C19B0A6" w14:textId="77777777" w:rsidR="00CE33BF" w:rsidRDefault="00CE33BF">
      <w:pPr>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25"/>
        <w:gridCol w:w="1635"/>
      </w:tblGrid>
      <w:tr w:rsidR="00CE33BF" w14:paraId="4E5F879A" w14:textId="77777777">
        <w:trPr>
          <w:trHeight w:val="400"/>
        </w:trPr>
        <w:tc>
          <w:tcPr>
            <w:tcW w:w="7725" w:type="dxa"/>
            <w:shd w:val="clear" w:color="auto" w:fill="000000"/>
            <w:tcMar>
              <w:top w:w="100" w:type="dxa"/>
              <w:left w:w="100" w:type="dxa"/>
              <w:bottom w:w="100" w:type="dxa"/>
              <w:right w:w="100" w:type="dxa"/>
            </w:tcMar>
          </w:tcPr>
          <w:p w14:paraId="409A97DD" w14:textId="77777777" w:rsidR="00CE33BF" w:rsidRDefault="00C07479">
            <w:pPr>
              <w:rPr>
                <w:b/>
                <w:color w:val="FFFFFF"/>
              </w:rPr>
            </w:pPr>
            <w:r>
              <w:rPr>
                <w:b/>
                <w:color w:val="FFFFFF"/>
              </w:rPr>
              <w:t>Monitoring Controls</w:t>
            </w:r>
          </w:p>
        </w:tc>
        <w:tc>
          <w:tcPr>
            <w:tcW w:w="1635" w:type="dxa"/>
            <w:shd w:val="clear" w:color="auto" w:fill="000000"/>
            <w:tcMar>
              <w:top w:w="100" w:type="dxa"/>
              <w:left w:w="100" w:type="dxa"/>
              <w:bottom w:w="100" w:type="dxa"/>
              <w:right w:w="100" w:type="dxa"/>
            </w:tcMar>
          </w:tcPr>
          <w:p w14:paraId="05C0BEAC" w14:textId="77777777" w:rsidR="00CE33BF" w:rsidRDefault="00C07479">
            <w:pPr>
              <w:widowControl w:val="0"/>
              <w:rPr>
                <w:b/>
                <w:color w:val="FFFFFF"/>
              </w:rPr>
            </w:pPr>
            <w:r>
              <w:rPr>
                <w:b/>
                <w:color w:val="FFFFFF"/>
              </w:rPr>
              <w:t>Performed</w:t>
            </w:r>
          </w:p>
        </w:tc>
      </w:tr>
      <w:tr w:rsidR="001D5217" w14:paraId="4A2CE016" w14:textId="77777777">
        <w:tc>
          <w:tcPr>
            <w:tcW w:w="7725" w:type="dxa"/>
            <w:shd w:val="clear" w:color="auto" w:fill="auto"/>
            <w:tcMar>
              <w:top w:w="100" w:type="dxa"/>
              <w:left w:w="100" w:type="dxa"/>
              <w:bottom w:w="100" w:type="dxa"/>
              <w:right w:w="100" w:type="dxa"/>
            </w:tcMar>
          </w:tcPr>
          <w:p w14:paraId="41E204D9" w14:textId="77777777" w:rsidR="001D5217" w:rsidRDefault="001D5217" w:rsidP="001D5217">
            <w:pPr>
              <w:rPr>
                <w:b/>
              </w:rPr>
            </w:pPr>
            <w:r>
              <w:t>A baseline measurement process for application, system, and network activity</w:t>
            </w:r>
          </w:p>
        </w:tc>
        <w:tc>
          <w:tcPr>
            <w:tcW w:w="1635" w:type="dxa"/>
            <w:shd w:val="clear" w:color="auto" w:fill="auto"/>
            <w:tcMar>
              <w:top w:w="100" w:type="dxa"/>
              <w:left w:w="100" w:type="dxa"/>
              <w:bottom w:w="100" w:type="dxa"/>
              <w:right w:w="100" w:type="dxa"/>
            </w:tcMar>
          </w:tcPr>
          <w:p w14:paraId="16E0D3DF" w14:textId="7E421250"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7830F705" w14:textId="77777777">
        <w:tc>
          <w:tcPr>
            <w:tcW w:w="7725" w:type="dxa"/>
            <w:shd w:val="clear" w:color="auto" w:fill="auto"/>
            <w:tcMar>
              <w:top w:w="100" w:type="dxa"/>
              <w:left w:w="100" w:type="dxa"/>
              <w:bottom w:w="100" w:type="dxa"/>
              <w:right w:w="100" w:type="dxa"/>
            </w:tcMar>
          </w:tcPr>
          <w:p w14:paraId="369D902C" w14:textId="77777777" w:rsidR="001D5217" w:rsidRDefault="001D5217" w:rsidP="001D5217">
            <w:pPr>
              <w:rPr>
                <w:b/>
              </w:rPr>
            </w:pPr>
            <w:r>
              <w:t>A monitoring capability for critical systems</w:t>
            </w:r>
          </w:p>
        </w:tc>
        <w:tc>
          <w:tcPr>
            <w:tcW w:w="1635" w:type="dxa"/>
            <w:shd w:val="clear" w:color="auto" w:fill="auto"/>
            <w:tcMar>
              <w:top w:w="100" w:type="dxa"/>
              <w:left w:w="100" w:type="dxa"/>
              <w:bottom w:w="100" w:type="dxa"/>
              <w:right w:w="100" w:type="dxa"/>
            </w:tcMar>
          </w:tcPr>
          <w:p w14:paraId="55B0BC34" w14:textId="06659A39"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2E651807" w14:textId="77777777">
        <w:tc>
          <w:tcPr>
            <w:tcW w:w="7725" w:type="dxa"/>
            <w:shd w:val="clear" w:color="auto" w:fill="auto"/>
            <w:tcMar>
              <w:top w:w="100" w:type="dxa"/>
              <w:left w:w="100" w:type="dxa"/>
              <w:bottom w:w="100" w:type="dxa"/>
              <w:right w:w="100" w:type="dxa"/>
            </w:tcMar>
          </w:tcPr>
          <w:p w14:paraId="09817CBF" w14:textId="77777777" w:rsidR="001D5217" w:rsidRDefault="001D5217" w:rsidP="001D5217">
            <w:pPr>
              <w:rPr>
                <w:b/>
              </w:rPr>
            </w:pPr>
            <w:r>
              <w:t>An intrusion detection mechanism</w:t>
            </w:r>
          </w:p>
        </w:tc>
        <w:tc>
          <w:tcPr>
            <w:tcW w:w="1635" w:type="dxa"/>
            <w:shd w:val="clear" w:color="auto" w:fill="auto"/>
            <w:tcMar>
              <w:top w:w="100" w:type="dxa"/>
              <w:left w:w="100" w:type="dxa"/>
              <w:bottom w:w="100" w:type="dxa"/>
              <w:right w:w="100" w:type="dxa"/>
            </w:tcMar>
          </w:tcPr>
          <w:p w14:paraId="479B5DAA" w14:textId="061A0C77"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316A3639" w14:textId="77777777">
        <w:tc>
          <w:tcPr>
            <w:tcW w:w="7725" w:type="dxa"/>
            <w:shd w:val="clear" w:color="auto" w:fill="auto"/>
            <w:tcMar>
              <w:top w:w="100" w:type="dxa"/>
              <w:left w:w="100" w:type="dxa"/>
              <w:bottom w:w="100" w:type="dxa"/>
              <w:right w:w="100" w:type="dxa"/>
            </w:tcMar>
          </w:tcPr>
          <w:p w14:paraId="77579324" w14:textId="77777777" w:rsidR="001D5217" w:rsidRDefault="001D5217" w:rsidP="001D5217">
            <w:pPr>
              <w:rPr>
                <w:b/>
              </w:rPr>
            </w:pPr>
            <w:r>
              <w:t>Logging processes for networks, systems, and applications</w:t>
            </w:r>
          </w:p>
        </w:tc>
        <w:tc>
          <w:tcPr>
            <w:tcW w:w="1635" w:type="dxa"/>
            <w:shd w:val="clear" w:color="auto" w:fill="auto"/>
            <w:tcMar>
              <w:top w:w="100" w:type="dxa"/>
              <w:left w:w="100" w:type="dxa"/>
              <w:bottom w:w="100" w:type="dxa"/>
              <w:right w:w="100" w:type="dxa"/>
            </w:tcMar>
          </w:tcPr>
          <w:p w14:paraId="75B4BAAB" w14:textId="7419EADF"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bl>
    <w:p w14:paraId="52AEE52C" w14:textId="77777777" w:rsidR="00CE33BF" w:rsidRDefault="00CE33BF">
      <w:pPr>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55"/>
        <w:gridCol w:w="1605"/>
      </w:tblGrid>
      <w:tr w:rsidR="00CE33BF" w14:paraId="4A1ED8DA" w14:textId="77777777">
        <w:trPr>
          <w:trHeight w:val="400"/>
        </w:trPr>
        <w:tc>
          <w:tcPr>
            <w:tcW w:w="7755" w:type="dxa"/>
            <w:shd w:val="clear" w:color="auto" w:fill="000000"/>
            <w:tcMar>
              <w:top w:w="100" w:type="dxa"/>
              <w:left w:w="100" w:type="dxa"/>
              <w:bottom w:w="100" w:type="dxa"/>
              <w:right w:w="100" w:type="dxa"/>
            </w:tcMar>
          </w:tcPr>
          <w:p w14:paraId="1A9AB93B" w14:textId="77777777" w:rsidR="00CE33BF" w:rsidRDefault="00C07479">
            <w:pPr>
              <w:rPr>
                <w:b/>
                <w:color w:val="FFFFFF"/>
              </w:rPr>
            </w:pPr>
            <w:r>
              <w:rPr>
                <w:b/>
                <w:color w:val="FFFFFF"/>
              </w:rPr>
              <w:lastRenderedPageBreak/>
              <w:t>Physical Controls</w:t>
            </w:r>
          </w:p>
        </w:tc>
        <w:tc>
          <w:tcPr>
            <w:tcW w:w="1605" w:type="dxa"/>
            <w:shd w:val="clear" w:color="auto" w:fill="000000"/>
            <w:tcMar>
              <w:top w:w="100" w:type="dxa"/>
              <w:left w:w="100" w:type="dxa"/>
              <w:bottom w:w="100" w:type="dxa"/>
              <w:right w:w="100" w:type="dxa"/>
            </w:tcMar>
          </w:tcPr>
          <w:p w14:paraId="3CC0C3A8" w14:textId="77777777" w:rsidR="00CE33BF" w:rsidRDefault="00C07479">
            <w:pPr>
              <w:widowControl w:val="0"/>
              <w:rPr>
                <w:b/>
                <w:color w:val="FFFFFF"/>
              </w:rPr>
            </w:pPr>
            <w:r>
              <w:rPr>
                <w:b/>
                <w:color w:val="FFFFFF"/>
              </w:rPr>
              <w:t>Performed</w:t>
            </w:r>
          </w:p>
        </w:tc>
      </w:tr>
      <w:tr w:rsidR="001D5217" w14:paraId="5BF1CB5E" w14:textId="77777777">
        <w:tc>
          <w:tcPr>
            <w:tcW w:w="7755" w:type="dxa"/>
            <w:shd w:val="clear" w:color="auto" w:fill="auto"/>
            <w:tcMar>
              <w:top w:w="100" w:type="dxa"/>
              <w:left w:w="100" w:type="dxa"/>
              <w:bottom w:w="100" w:type="dxa"/>
              <w:right w:w="100" w:type="dxa"/>
            </w:tcMar>
          </w:tcPr>
          <w:p w14:paraId="1C71EE5A" w14:textId="77777777" w:rsidR="001D5217" w:rsidRDefault="001D5217" w:rsidP="001D5217">
            <w:pPr>
              <w:rPr>
                <w:b/>
              </w:rPr>
            </w:pPr>
            <w:r>
              <w:t>Physical protection and access processes for buildings that house critical information technology and systems</w:t>
            </w:r>
          </w:p>
        </w:tc>
        <w:tc>
          <w:tcPr>
            <w:tcW w:w="1605" w:type="dxa"/>
            <w:shd w:val="clear" w:color="auto" w:fill="auto"/>
            <w:tcMar>
              <w:top w:w="100" w:type="dxa"/>
              <w:left w:w="100" w:type="dxa"/>
              <w:bottom w:w="100" w:type="dxa"/>
              <w:right w:w="100" w:type="dxa"/>
            </w:tcMar>
          </w:tcPr>
          <w:p w14:paraId="59D1AD4A" w14:textId="4F4FC623"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3F8898AD" w14:textId="77777777">
        <w:tc>
          <w:tcPr>
            <w:tcW w:w="7755" w:type="dxa"/>
            <w:shd w:val="clear" w:color="auto" w:fill="auto"/>
            <w:tcMar>
              <w:top w:w="100" w:type="dxa"/>
              <w:left w:w="100" w:type="dxa"/>
              <w:bottom w:w="100" w:type="dxa"/>
              <w:right w:w="100" w:type="dxa"/>
            </w:tcMar>
          </w:tcPr>
          <w:p w14:paraId="6613CD08" w14:textId="77777777" w:rsidR="001D5217" w:rsidRDefault="001D5217" w:rsidP="001D5217">
            <w:pPr>
              <w:rPr>
                <w:b/>
              </w:rPr>
            </w:pPr>
            <w:r>
              <w:t>A physical protection process for critical information systems and institutional information</w:t>
            </w:r>
          </w:p>
        </w:tc>
        <w:tc>
          <w:tcPr>
            <w:tcW w:w="1605" w:type="dxa"/>
            <w:shd w:val="clear" w:color="auto" w:fill="auto"/>
            <w:tcMar>
              <w:top w:w="100" w:type="dxa"/>
              <w:left w:w="100" w:type="dxa"/>
              <w:bottom w:w="100" w:type="dxa"/>
              <w:right w:w="100" w:type="dxa"/>
            </w:tcMar>
          </w:tcPr>
          <w:p w14:paraId="20AD9DB9" w14:textId="71FA4378"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bl>
    <w:p w14:paraId="7655EFD9" w14:textId="77777777" w:rsidR="00CE33BF" w:rsidRDefault="00CE33BF"/>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70"/>
        <w:gridCol w:w="1590"/>
      </w:tblGrid>
      <w:tr w:rsidR="00CE33BF" w14:paraId="72DEACE3" w14:textId="77777777">
        <w:trPr>
          <w:trHeight w:val="400"/>
        </w:trPr>
        <w:tc>
          <w:tcPr>
            <w:tcW w:w="7770" w:type="dxa"/>
            <w:shd w:val="clear" w:color="auto" w:fill="000000"/>
            <w:tcMar>
              <w:top w:w="100" w:type="dxa"/>
              <w:left w:w="100" w:type="dxa"/>
              <w:bottom w:w="100" w:type="dxa"/>
              <w:right w:w="100" w:type="dxa"/>
            </w:tcMar>
          </w:tcPr>
          <w:p w14:paraId="59DF5137" w14:textId="77777777" w:rsidR="00CE33BF" w:rsidRDefault="00C07479">
            <w:pPr>
              <w:rPr>
                <w:color w:val="FFFFFF"/>
              </w:rPr>
            </w:pPr>
            <w:r>
              <w:rPr>
                <w:b/>
                <w:color w:val="FFFFFF"/>
              </w:rPr>
              <w:t>Account and Identity Management Controls</w:t>
            </w:r>
          </w:p>
        </w:tc>
        <w:tc>
          <w:tcPr>
            <w:tcW w:w="1590" w:type="dxa"/>
            <w:shd w:val="clear" w:color="auto" w:fill="000000"/>
            <w:tcMar>
              <w:top w:w="100" w:type="dxa"/>
              <w:left w:w="100" w:type="dxa"/>
              <w:bottom w:w="100" w:type="dxa"/>
              <w:right w:w="100" w:type="dxa"/>
            </w:tcMar>
          </w:tcPr>
          <w:p w14:paraId="673B8EB5" w14:textId="77777777" w:rsidR="00CE33BF" w:rsidRDefault="00C07479">
            <w:pPr>
              <w:widowControl w:val="0"/>
              <w:rPr>
                <w:b/>
                <w:color w:val="FFFFFF"/>
              </w:rPr>
            </w:pPr>
            <w:r>
              <w:rPr>
                <w:b/>
                <w:color w:val="FFFFFF"/>
              </w:rPr>
              <w:t>Performed</w:t>
            </w:r>
          </w:p>
        </w:tc>
      </w:tr>
      <w:tr w:rsidR="001D5217" w14:paraId="788E28B8" w14:textId="77777777">
        <w:tc>
          <w:tcPr>
            <w:tcW w:w="7770" w:type="dxa"/>
            <w:shd w:val="clear" w:color="auto" w:fill="auto"/>
            <w:tcMar>
              <w:top w:w="100" w:type="dxa"/>
              <w:left w:w="100" w:type="dxa"/>
              <w:bottom w:w="100" w:type="dxa"/>
              <w:right w:w="100" w:type="dxa"/>
            </w:tcMar>
          </w:tcPr>
          <w:p w14:paraId="639B7953" w14:textId="77777777" w:rsidR="001D5217" w:rsidRDefault="001D5217" w:rsidP="001D5217">
            <w:r>
              <w:t>An identity and eligibility verification and registration process</w:t>
            </w:r>
          </w:p>
        </w:tc>
        <w:tc>
          <w:tcPr>
            <w:tcW w:w="1590" w:type="dxa"/>
            <w:shd w:val="clear" w:color="auto" w:fill="auto"/>
            <w:tcMar>
              <w:top w:w="100" w:type="dxa"/>
              <w:left w:w="100" w:type="dxa"/>
              <w:bottom w:w="100" w:type="dxa"/>
              <w:right w:w="100" w:type="dxa"/>
            </w:tcMar>
          </w:tcPr>
          <w:p w14:paraId="5E8A3E8A" w14:textId="3814CE4A"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r w:rsidR="001D5217" w14:paraId="7587C1B8" w14:textId="77777777">
        <w:tc>
          <w:tcPr>
            <w:tcW w:w="7770" w:type="dxa"/>
            <w:shd w:val="clear" w:color="auto" w:fill="auto"/>
            <w:tcMar>
              <w:top w:w="100" w:type="dxa"/>
              <w:left w:w="100" w:type="dxa"/>
              <w:bottom w:w="100" w:type="dxa"/>
              <w:right w:w="100" w:type="dxa"/>
            </w:tcMar>
          </w:tcPr>
          <w:p w14:paraId="00BD0CF7" w14:textId="77777777" w:rsidR="001D5217" w:rsidRDefault="001D5217" w:rsidP="001D5217">
            <w:r>
              <w:t>A user and system account life cycle management process</w:t>
            </w:r>
          </w:p>
        </w:tc>
        <w:tc>
          <w:tcPr>
            <w:tcW w:w="1590" w:type="dxa"/>
            <w:shd w:val="clear" w:color="auto" w:fill="auto"/>
            <w:tcMar>
              <w:top w:w="100" w:type="dxa"/>
              <w:left w:w="100" w:type="dxa"/>
              <w:bottom w:w="100" w:type="dxa"/>
              <w:right w:w="100" w:type="dxa"/>
            </w:tcMar>
          </w:tcPr>
          <w:p w14:paraId="6FA7056B" w14:textId="4233708D" w:rsidR="001D5217" w:rsidRDefault="001D5217" w:rsidP="001D5217">
            <w:pPr>
              <w:widowControl w:val="0"/>
              <w:ind w:left="360"/>
              <w:rPr>
                <w:b/>
              </w:rPr>
            </w:pPr>
            <w:r>
              <w:fldChar w:fldCharType="begin">
                <w:ffData>
                  <w:name w:val="Check1"/>
                  <w:enabled/>
                  <w:calcOnExit w:val="0"/>
                  <w:checkBox>
                    <w:sizeAuto/>
                    <w:default w:val="0"/>
                  </w:checkBox>
                </w:ffData>
              </w:fldChar>
            </w:r>
            <w:r>
              <w:instrText xml:space="preserve"> FORMCHECKBOX </w:instrText>
            </w:r>
            <w:r w:rsidR="00405673">
              <w:fldChar w:fldCharType="separate"/>
            </w:r>
            <w:r>
              <w:fldChar w:fldCharType="end"/>
            </w:r>
          </w:p>
        </w:tc>
      </w:tr>
    </w:tbl>
    <w:p w14:paraId="741FB224" w14:textId="77777777" w:rsidR="00CE33BF" w:rsidRDefault="00C07479">
      <w:pPr>
        <w:pStyle w:val="Heading1"/>
      </w:pPr>
      <w:r>
        <w:t>Maintenance</w:t>
      </w:r>
    </w:p>
    <w:p w14:paraId="7F020A7B" w14:textId="77777777" w:rsidR="00CE33BF" w:rsidRDefault="00C07479">
      <w:r>
        <w:t xml:space="preserve">The Executive Head of </w:t>
      </w:r>
      <w:r>
        <w:rPr>
          <w:color w:val="0000FF"/>
        </w:rPr>
        <w:t>[Organization]</w:t>
      </w:r>
      <w:r>
        <w:t xml:space="preserve"> is </w:t>
      </w:r>
      <w:r>
        <w:rPr>
          <w:color w:val="0000FF"/>
        </w:rPr>
        <w:t>[Name]</w:t>
      </w:r>
      <w:r>
        <w:t xml:space="preserve">, who approves this document and agrees that it will be used as the Plan for </w:t>
      </w:r>
      <w:r>
        <w:rPr>
          <w:color w:val="0000FF"/>
        </w:rPr>
        <w:t>[Organization]</w:t>
      </w:r>
      <w:r>
        <w:t xml:space="preserve">. This Plan </w:t>
      </w:r>
      <w:proofErr w:type="gramStart"/>
      <w:r>
        <w:t>is considered to be</w:t>
      </w:r>
      <w:proofErr w:type="gramEnd"/>
      <w:r>
        <w:t xml:space="preserve"> a “living document” and is expected to change to meet the needs of the University and </w:t>
      </w:r>
      <w:r>
        <w:rPr>
          <w:color w:val="0000FF"/>
        </w:rPr>
        <w:t>[Organization]</w:t>
      </w:r>
      <w:r>
        <w:t xml:space="preserve"> This document will be reviewed annually and updated as needed.</w:t>
      </w:r>
    </w:p>
    <w:p w14:paraId="0C59172F" w14:textId="77777777" w:rsidR="00CE33BF" w:rsidRDefault="00CE33BF"/>
    <w:p w14:paraId="50DB1B59" w14:textId="77777777" w:rsidR="00CE33BF" w:rsidRDefault="00C07479">
      <w:r>
        <w:t>Last reviewed:</w:t>
      </w:r>
      <w:r>
        <w:rPr>
          <w:color w:val="0000FF"/>
        </w:rPr>
        <w:t xml:space="preserve"> [date]</w:t>
      </w:r>
    </w:p>
    <w:p w14:paraId="00B504CB" w14:textId="77777777" w:rsidR="00CE33BF" w:rsidRDefault="00C07479">
      <w:r>
        <w:t xml:space="preserve">Last updated: </w:t>
      </w:r>
      <w:r>
        <w:rPr>
          <w:color w:val="0000FF"/>
        </w:rPr>
        <w:t>[date]</w:t>
      </w:r>
    </w:p>
    <w:p w14:paraId="3B85A2F5" w14:textId="77777777" w:rsidR="00CE33BF" w:rsidRDefault="00CE33BF"/>
    <w:p w14:paraId="10C9683A" w14:textId="77777777" w:rsidR="00CE33BF" w:rsidRDefault="00C07479">
      <w:r>
        <w:t xml:space="preserve">An official copy will be stored </w:t>
      </w:r>
      <w:r>
        <w:rPr>
          <w:color w:val="0000FF"/>
        </w:rPr>
        <w:t>[link]</w:t>
      </w:r>
      <w:r>
        <w:t xml:space="preserve">. </w:t>
      </w:r>
    </w:p>
    <w:sectPr w:rsidR="00CE33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0799" w14:textId="77777777" w:rsidR="00405673" w:rsidRDefault="00405673">
      <w:r>
        <w:separator/>
      </w:r>
    </w:p>
  </w:endnote>
  <w:endnote w:type="continuationSeparator" w:id="0">
    <w:p w14:paraId="4A35F247" w14:textId="77777777" w:rsidR="00405673" w:rsidRDefault="0040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DC73" w14:textId="77777777" w:rsidR="00CE33BF" w:rsidRDefault="00C0747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405673">
      <w:rPr>
        <w:color w:val="000000"/>
      </w:rPr>
      <w:fldChar w:fldCharType="separate"/>
    </w:r>
    <w:r>
      <w:rPr>
        <w:color w:val="000000"/>
      </w:rPr>
      <w:fldChar w:fldCharType="end"/>
    </w:r>
  </w:p>
  <w:p w14:paraId="790FF600" w14:textId="77777777" w:rsidR="00CE33BF" w:rsidRDefault="00CE33B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AF4" w14:textId="644D445F" w:rsidR="00CE33BF" w:rsidRDefault="00C07479">
    <w:pPr>
      <w:pBdr>
        <w:top w:val="nil"/>
        <w:left w:val="nil"/>
        <w:bottom w:val="nil"/>
        <w:right w:val="nil"/>
        <w:between w:val="nil"/>
      </w:pBdr>
      <w:spacing w:line="276" w:lineRule="auto"/>
      <w:ind w:right="360"/>
      <w:rPr>
        <w:rFonts w:ascii="Calibri" w:eastAsia="Calibri" w:hAnsi="Calibri" w:cs="Calibri"/>
        <w:color w:val="000000"/>
        <w:sz w:val="16"/>
        <w:szCs w:val="16"/>
      </w:rPr>
    </w:pPr>
    <w:r>
      <w:rPr>
        <w:rFonts w:ascii="Calibri" w:eastAsia="Calibri" w:hAnsi="Calibri" w:cs="Calibri"/>
        <w:color w:val="000000"/>
        <w:sz w:val="16"/>
        <w:szCs w:val="16"/>
      </w:rPr>
      <w:t>UW Office of the CISO</w:t>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r>
    <w:r>
      <w:rPr>
        <w:rFonts w:ascii="Calibri" w:eastAsia="Calibri" w:hAnsi="Calibri" w:cs="Calibri"/>
        <w:color w:val="000000"/>
        <w:sz w:val="16"/>
        <w:szCs w:val="16"/>
      </w:rPr>
      <w:tab/>
      <w:t xml:space="preserve">Version </w:t>
    </w:r>
    <w:r>
      <w:rPr>
        <w:rFonts w:ascii="Calibri" w:eastAsia="Calibri" w:hAnsi="Calibri" w:cs="Calibri"/>
        <w:sz w:val="16"/>
        <w:szCs w:val="16"/>
      </w:rPr>
      <w:t xml:space="preserve">1 </w:t>
    </w:r>
    <w:r>
      <w:rPr>
        <w:rFonts w:ascii="Calibri" w:eastAsia="Calibri" w:hAnsi="Calibri" w:cs="Calibri"/>
        <w:color w:val="000000"/>
        <w:sz w:val="16"/>
        <w:szCs w:val="16"/>
      </w:rPr>
      <w:t xml:space="preserve">  </w:t>
    </w:r>
    <w:r>
      <w:rPr>
        <w:rFonts w:ascii="Calibri" w:eastAsia="Calibri" w:hAnsi="Calibri" w:cs="Calibri"/>
        <w:sz w:val="16"/>
        <w:szCs w:val="16"/>
      </w:rPr>
      <w:t>6</w:t>
    </w:r>
    <w:r>
      <w:rPr>
        <w:rFonts w:ascii="Calibri" w:eastAsia="Calibri" w:hAnsi="Calibri" w:cs="Calibri"/>
        <w:color w:val="000000"/>
        <w:sz w:val="16"/>
        <w:szCs w:val="16"/>
      </w:rPr>
      <w:t>/</w:t>
    </w:r>
    <w:r>
      <w:rPr>
        <w:rFonts w:ascii="Calibri" w:eastAsia="Calibri" w:hAnsi="Calibri" w:cs="Calibri"/>
        <w:sz w:val="16"/>
        <w:szCs w:val="16"/>
      </w:rPr>
      <w:t>3</w:t>
    </w:r>
    <w:r>
      <w:rPr>
        <w:rFonts w:ascii="Calibri" w:eastAsia="Calibri" w:hAnsi="Calibri" w:cs="Calibri"/>
        <w:color w:val="000000"/>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200C" w14:textId="77777777" w:rsidR="00CE33BF" w:rsidRDefault="00CE33B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FE52" w14:textId="77777777" w:rsidR="00405673" w:rsidRDefault="00405673">
      <w:r>
        <w:separator/>
      </w:r>
    </w:p>
  </w:footnote>
  <w:footnote w:type="continuationSeparator" w:id="0">
    <w:p w14:paraId="7928B4B3" w14:textId="77777777" w:rsidR="00405673" w:rsidRDefault="0040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2292" w14:textId="77777777" w:rsidR="00CE33BF" w:rsidRDefault="00CE33B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07A" w14:textId="77777777" w:rsidR="00CE33BF" w:rsidRDefault="00CE33B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1642" w14:textId="77777777" w:rsidR="00CE33BF" w:rsidRDefault="00CE33B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EB4"/>
    <w:multiLevelType w:val="multilevel"/>
    <w:tmpl w:val="B6345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9966F3"/>
    <w:multiLevelType w:val="multilevel"/>
    <w:tmpl w:val="AF562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05A91"/>
    <w:multiLevelType w:val="multilevel"/>
    <w:tmpl w:val="745EA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E02B5B"/>
    <w:multiLevelType w:val="multilevel"/>
    <w:tmpl w:val="E8DC0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363EC1"/>
    <w:multiLevelType w:val="multilevel"/>
    <w:tmpl w:val="45483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7E6F8D"/>
    <w:multiLevelType w:val="multilevel"/>
    <w:tmpl w:val="8AB6E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8A04CA"/>
    <w:multiLevelType w:val="multilevel"/>
    <w:tmpl w:val="C7BE5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B513D7"/>
    <w:multiLevelType w:val="multilevel"/>
    <w:tmpl w:val="AED22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D556CC"/>
    <w:multiLevelType w:val="multilevel"/>
    <w:tmpl w:val="21FAE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0351966">
    <w:abstractNumId w:val="4"/>
  </w:num>
  <w:num w:numId="2" w16cid:durableId="1993947323">
    <w:abstractNumId w:val="1"/>
  </w:num>
  <w:num w:numId="3" w16cid:durableId="2007661209">
    <w:abstractNumId w:val="8"/>
  </w:num>
  <w:num w:numId="4" w16cid:durableId="1469634">
    <w:abstractNumId w:val="3"/>
  </w:num>
  <w:num w:numId="5" w16cid:durableId="1094984306">
    <w:abstractNumId w:val="0"/>
  </w:num>
  <w:num w:numId="6" w16cid:durableId="315185101">
    <w:abstractNumId w:val="6"/>
  </w:num>
  <w:num w:numId="7" w16cid:durableId="1520118749">
    <w:abstractNumId w:val="5"/>
  </w:num>
  <w:num w:numId="8" w16cid:durableId="547646588">
    <w:abstractNumId w:val="7"/>
  </w:num>
  <w:num w:numId="9" w16cid:durableId="155164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BF"/>
    <w:rsid w:val="001B1EDA"/>
    <w:rsid w:val="001D5217"/>
    <w:rsid w:val="002A6E9A"/>
    <w:rsid w:val="002F3372"/>
    <w:rsid w:val="00405673"/>
    <w:rsid w:val="0088692F"/>
    <w:rsid w:val="00933875"/>
    <w:rsid w:val="00C07479"/>
    <w:rsid w:val="00CE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6291"/>
  <w15:docId w15:val="{F7EB0EF2-82DD-8C47-9C3D-7FD1512E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outlineLvl w:val="0"/>
    </w:pPr>
    <w:rPr>
      <w:rFonts w:ascii="Calibri" w:eastAsia="Calibri" w:hAnsi="Calibri" w:cs="Calibri"/>
      <w:b/>
      <w:sz w:val="32"/>
      <w:szCs w:val="32"/>
    </w:rPr>
  </w:style>
  <w:style w:type="paragraph" w:styleId="Heading2">
    <w:name w:val="heading 2"/>
    <w:basedOn w:val="Normal"/>
    <w:next w:val="Normal"/>
    <w:uiPriority w:val="9"/>
    <w:unhideWhenUsed/>
    <w:qFormat/>
    <w:pPr>
      <w:spacing w:before="120"/>
      <w:outlineLvl w:val="1"/>
    </w:pPr>
    <w:rPr>
      <w:rFonts w:ascii="Calibri" w:eastAsia="Calibri" w:hAnsi="Calibri" w:cs="Calibri"/>
      <w:b/>
      <w:sz w:val="28"/>
      <w:szCs w:val="28"/>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rFonts w:ascii="Arial" w:eastAsia="Arial" w:hAnsi="Arial" w:cs="Arial"/>
      <w:b/>
      <w:color w:val="000000"/>
      <w:sz w:val="22"/>
      <w:szCs w:val="22"/>
    </w:rPr>
  </w:style>
  <w:style w:type="paragraph" w:styleId="Heading4">
    <w:name w:val="heading 4"/>
    <w:basedOn w:val="Normal"/>
    <w:next w:val="Normal"/>
    <w:uiPriority w:val="9"/>
    <w:semiHidden/>
    <w:unhideWhenUsed/>
    <w:qFormat/>
    <w:pPr>
      <w:pBdr>
        <w:top w:val="nil"/>
        <w:left w:val="nil"/>
        <w:bottom w:val="nil"/>
        <w:right w:val="nil"/>
        <w:between w:val="nil"/>
      </w:pBdr>
      <w:spacing w:before="160" w:line="276" w:lineRule="auto"/>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pBdr>
        <w:top w:val="nil"/>
        <w:left w:val="nil"/>
        <w:bottom w:val="nil"/>
        <w:right w:val="nil"/>
        <w:between w:val="nil"/>
      </w:pBdr>
      <w:spacing w:before="160" w:line="276" w:lineRule="auto"/>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pBdr>
        <w:top w:val="nil"/>
        <w:left w:val="nil"/>
        <w:bottom w:val="nil"/>
        <w:right w:val="nil"/>
        <w:between w:val="nil"/>
      </w:pBdr>
      <w:spacing w:before="160" w:line="276"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00" w:after="200"/>
    </w:pPr>
    <w:rPr>
      <w:rFonts w:ascii="Calibri" w:eastAsia="Calibri" w:hAnsi="Calibri" w:cs="Calibri"/>
      <w:b/>
      <w:color w:val="0000FF"/>
      <w:sz w:val="44"/>
      <w:szCs w:val="44"/>
    </w:rPr>
  </w:style>
  <w:style w:type="paragraph" w:styleId="Subtitle">
    <w:name w:val="Subtitle"/>
    <w:basedOn w:val="Normal"/>
    <w:next w:val="Normal"/>
    <w:uiPriority w:val="11"/>
    <w:qFormat/>
    <w:pPr>
      <w:pBdr>
        <w:top w:val="nil"/>
        <w:left w:val="nil"/>
        <w:bottom w:val="nil"/>
        <w:right w:val="nil"/>
        <w:between w:val="nil"/>
      </w:pBdr>
      <w:spacing w:after="200" w:line="276" w:lineRule="auto"/>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F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APS/02.0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iso.uw.edu/site/files/Information_Security_Guideline.pdf" TargetMode="External"/><Relationship Id="rId4" Type="http://schemas.openxmlformats.org/officeDocument/2006/relationships/settings" Target="settings.xml"/><Relationship Id="rId9" Type="http://schemas.openxmlformats.org/officeDocument/2006/relationships/hyperlink" Target="https://privacy.uw.edu/design/data-classifica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BBA9-ED81-D040-B47D-8691890B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Albin</cp:lastModifiedBy>
  <cp:revision>3</cp:revision>
  <dcterms:created xsi:type="dcterms:W3CDTF">2022-06-04T00:12:00Z</dcterms:created>
  <dcterms:modified xsi:type="dcterms:W3CDTF">2022-06-04T00:13:00Z</dcterms:modified>
</cp:coreProperties>
</file>