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7F617" w14:textId="69AA075C" w:rsidR="005C08A6" w:rsidRPr="009A4889" w:rsidRDefault="00376726" w:rsidP="00981416">
      <w:pPr>
        <w:pStyle w:val="ListParagraph"/>
        <w:numPr>
          <w:ilvl w:val="0"/>
          <w:numId w:val="2"/>
        </w:numPr>
        <w:spacing w:before="240" w:line="240" w:lineRule="auto"/>
        <w:rPr>
          <w:rFonts w:eastAsia="Times New Roman" w:cs="Times New Roman"/>
          <w:sz w:val="20"/>
          <w:szCs w:val="20"/>
        </w:rPr>
      </w:pPr>
      <w:r w:rsidRPr="009A4889">
        <w:rPr>
          <w:rFonts w:eastAsia="Times New Roman" w:cs="Times New Roman"/>
          <w:sz w:val="20"/>
          <w:szCs w:val="20"/>
        </w:rPr>
        <w:t xml:space="preserve">This Contract </w:t>
      </w:r>
      <w:r w:rsidR="00981416" w:rsidRPr="009A4889">
        <w:rPr>
          <w:rFonts w:eastAsia="Times New Roman" w:cs="Times New Roman"/>
          <w:sz w:val="20"/>
          <w:szCs w:val="20"/>
        </w:rPr>
        <w:t xml:space="preserve">is </w:t>
      </w:r>
      <w:r w:rsidRPr="009A4889">
        <w:rPr>
          <w:rFonts w:eastAsia="Times New Roman" w:cs="Times New Roman"/>
          <w:sz w:val="20"/>
          <w:szCs w:val="20"/>
        </w:rPr>
        <w:t>between the University of Washington (University</w:t>
      </w:r>
      <w:r w:rsidR="00981416" w:rsidRPr="009A4889">
        <w:rPr>
          <w:rFonts w:eastAsia="Times New Roman" w:cs="Times New Roman"/>
          <w:sz w:val="20"/>
          <w:szCs w:val="20"/>
        </w:rPr>
        <w:t>)</w:t>
      </w:r>
      <w:r w:rsidRPr="009A4889">
        <w:rPr>
          <w:rFonts w:eastAsia="Times New Roman" w:cs="Times New Roman"/>
          <w:sz w:val="20"/>
          <w:szCs w:val="20"/>
        </w:rPr>
        <w:t xml:space="preserve"> and </w:t>
      </w:r>
      <w:r w:rsidR="00172467" w:rsidRPr="009A4889">
        <w:rPr>
          <w:rFonts w:eastAsia="Times New Roman" w:cs="Times New Roman"/>
          <w:sz w:val="20"/>
          <w:szCs w:val="20"/>
        </w:rPr>
        <w:t>&lt;&lt;</w:t>
      </w:r>
      <w:proofErr w:type="spellStart"/>
      <w:r w:rsidR="00172467" w:rsidRPr="009A4889">
        <w:rPr>
          <w:rFonts w:eastAsia="Times New Roman" w:cs="Times New Roman"/>
          <w:sz w:val="20"/>
          <w:szCs w:val="20"/>
        </w:rPr>
        <w:t>VendorName</w:t>
      </w:r>
      <w:proofErr w:type="spellEnd"/>
      <w:r w:rsidR="00172467" w:rsidRPr="009A4889">
        <w:rPr>
          <w:rFonts w:eastAsia="Times New Roman" w:cs="Times New Roman"/>
          <w:sz w:val="20"/>
          <w:szCs w:val="20"/>
        </w:rPr>
        <w:t>&gt;&gt;</w:t>
      </w:r>
      <w:r w:rsidRPr="009A4889">
        <w:rPr>
          <w:rFonts w:eastAsia="Times New Roman" w:cs="Times New Roman"/>
          <w:sz w:val="20"/>
          <w:szCs w:val="20"/>
        </w:rPr>
        <w:t xml:space="preserve"> (Vendor)</w:t>
      </w:r>
      <w:r w:rsidR="00172467" w:rsidRPr="009A4889">
        <w:rPr>
          <w:rFonts w:eastAsia="Times New Roman" w:cs="Times New Roman"/>
          <w:sz w:val="20"/>
          <w:szCs w:val="20"/>
        </w:rPr>
        <w:t xml:space="preserve"> for a term beginning as of the Effective Date and last for &lt;&lt;</w:t>
      </w:r>
      <w:proofErr w:type="spellStart"/>
      <w:r w:rsidR="00172467" w:rsidRPr="009A4889">
        <w:rPr>
          <w:rFonts w:eastAsia="Times New Roman" w:cs="Times New Roman"/>
          <w:sz w:val="20"/>
          <w:szCs w:val="20"/>
        </w:rPr>
        <w:t>ContractTerm</w:t>
      </w:r>
      <w:proofErr w:type="spellEnd"/>
      <w:r w:rsidR="00172467" w:rsidRPr="009A4889">
        <w:rPr>
          <w:rFonts w:eastAsia="Times New Roman" w:cs="Times New Roman"/>
          <w:sz w:val="20"/>
          <w:szCs w:val="20"/>
        </w:rPr>
        <w:t>&gt;&gt;</w:t>
      </w:r>
      <w:r w:rsidR="00981416" w:rsidRPr="009A4889">
        <w:rPr>
          <w:rFonts w:eastAsia="Times New Roman" w:cs="Times New Roman"/>
          <w:sz w:val="20"/>
          <w:szCs w:val="20"/>
        </w:rPr>
        <w:t>.</w:t>
      </w:r>
      <w:r w:rsidR="00981416" w:rsidRPr="009A4889">
        <w:rPr>
          <w:rFonts w:eastAsia="Times New Roman" w:cs="Times New Roman"/>
          <w:color w:val="000000"/>
          <w:sz w:val="20"/>
          <w:szCs w:val="20"/>
        </w:rPr>
        <w:t xml:space="preserve"> </w:t>
      </w:r>
    </w:p>
    <w:p w14:paraId="5838DB92" w14:textId="25FF74DB" w:rsidR="005C08A6" w:rsidRPr="009A4889" w:rsidRDefault="00981416" w:rsidP="00981416">
      <w:pPr>
        <w:pStyle w:val="ListParagraph"/>
        <w:numPr>
          <w:ilvl w:val="0"/>
          <w:numId w:val="2"/>
        </w:numPr>
        <w:spacing w:before="240" w:line="240" w:lineRule="auto"/>
        <w:rPr>
          <w:rFonts w:eastAsia="Times New Roman" w:cs="Times New Roman"/>
          <w:sz w:val="20"/>
          <w:szCs w:val="20"/>
        </w:rPr>
      </w:pPr>
      <w:r w:rsidRPr="009A4889">
        <w:rPr>
          <w:rFonts w:eastAsia="Times New Roman" w:cs="Times New Roman"/>
          <w:sz w:val="20"/>
          <w:szCs w:val="20"/>
        </w:rPr>
        <w:t>Vendor</w:t>
      </w:r>
      <w:r w:rsidR="00376726" w:rsidRPr="009A4889">
        <w:rPr>
          <w:rFonts w:eastAsia="Times New Roman" w:cs="Times New Roman"/>
          <w:sz w:val="20"/>
          <w:szCs w:val="20"/>
        </w:rPr>
        <w:t xml:space="preserve"> is a provider of learning tools (including but not limited to </w:t>
      </w:r>
      <w:r w:rsidR="00172467" w:rsidRPr="009A4889">
        <w:rPr>
          <w:rFonts w:eastAsia="Times New Roman" w:cs="Times New Roman"/>
          <w:sz w:val="20"/>
          <w:szCs w:val="20"/>
        </w:rPr>
        <w:t>&lt;&lt;</w:t>
      </w:r>
      <w:proofErr w:type="spellStart"/>
      <w:r w:rsidR="00172467" w:rsidRPr="009A4889">
        <w:rPr>
          <w:rFonts w:eastAsia="Times New Roman" w:cs="Times New Roman"/>
          <w:sz w:val="20"/>
          <w:szCs w:val="20"/>
        </w:rPr>
        <w:t>FlagshipProductName</w:t>
      </w:r>
      <w:proofErr w:type="spellEnd"/>
      <w:r w:rsidR="00172467" w:rsidRPr="009A4889">
        <w:rPr>
          <w:rFonts w:eastAsia="Times New Roman" w:cs="Times New Roman"/>
          <w:sz w:val="20"/>
          <w:szCs w:val="20"/>
        </w:rPr>
        <w:t>&gt;&gt;</w:t>
      </w:r>
      <w:r w:rsidRPr="009A4889">
        <w:rPr>
          <w:rFonts w:eastAsia="Times New Roman" w:cs="Times New Roman"/>
          <w:sz w:val="20"/>
          <w:szCs w:val="20"/>
        </w:rPr>
        <w:t>).</w:t>
      </w:r>
    </w:p>
    <w:p w14:paraId="184C5CC3" w14:textId="36C0CEFF" w:rsidR="00376726" w:rsidRPr="009A4889" w:rsidRDefault="005C08A6" w:rsidP="00981416">
      <w:pPr>
        <w:pStyle w:val="ListParagraph"/>
        <w:numPr>
          <w:ilvl w:val="0"/>
          <w:numId w:val="2"/>
        </w:numPr>
        <w:spacing w:before="240" w:line="240" w:lineRule="auto"/>
        <w:rPr>
          <w:rFonts w:eastAsia="Times New Roman" w:cs="Times New Roman"/>
          <w:sz w:val="20"/>
          <w:szCs w:val="20"/>
        </w:rPr>
      </w:pPr>
      <w:r w:rsidRPr="009A4889">
        <w:rPr>
          <w:rFonts w:eastAsia="Times New Roman" w:cs="Times New Roman"/>
          <w:sz w:val="20"/>
          <w:szCs w:val="20"/>
        </w:rPr>
        <w:t xml:space="preserve">Vendor seeks to integrate one or more of its products and/or services </w:t>
      </w:r>
      <w:r w:rsidR="00277619" w:rsidRPr="009A4889">
        <w:rPr>
          <w:rFonts w:eastAsia="Times New Roman" w:cs="Times New Roman"/>
          <w:sz w:val="20"/>
          <w:szCs w:val="20"/>
        </w:rPr>
        <w:t xml:space="preserve">(Applications) </w:t>
      </w:r>
      <w:r w:rsidRPr="009A4889">
        <w:rPr>
          <w:rFonts w:eastAsia="Times New Roman" w:cs="Times New Roman"/>
          <w:sz w:val="20"/>
          <w:szCs w:val="20"/>
        </w:rPr>
        <w:t xml:space="preserve">with Canvas, the learning management system of </w:t>
      </w:r>
      <w:r w:rsidR="00981416" w:rsidRPr="009A4889">
        <w:rPr>
          <w:rFonts w:eastAsia="Times New Roman" w:cs="Times New Roman"/>
          <w:sz w:val="20"/>
          <w:szCs w:val="20"/>
        </w:rPr>
        <w:t>University</w:t>
      </w:r>
      <w:r w:rsidRPr="009A4889">
        <w:rPr>
          <w:rFonts w:eastAsia="Times New Roman" w:cs="Times New Roman"/>
          <w:sz w:val="20"/>
          <w:szCs w:val="20"/>
        </w:rPr>
        <w:t xml:space="preserve">. Specifically, Vendor wishes to leverage the “Learning Tools Interoperability” </w:t>
      </w:r>
      <w:r w:rsidR="00D27BB0" w:rsidRPr="009A4889">
        <w:rPr>
          <w:rFonts w:eastAsia="Times New Roman" w:cs="Times New Roman"/>
          <w:sz w:val="20"/>
          <w:szCs w:val="20"/>
        </w:rPr>
        <w:t xml:space="preserve">(LTI) </w:t>
      </w:r>
      <w:r w:rsidRPr="009A4889">
        <w:rPr>
          <w:rFonts w:eastAsia="Times New Roman" w:cs="Times New Roman"/>
          <w:sz w:val="20"/>
          <w:szCs w:val="20"/>
        </w:rPr>
        <w:t xml:space="preserve">specification to allow Vendor’s remote software applications and content to be used by students and other </w:t>
      </w:r>
      <w:r w:rsidR="00981416" w:rsidRPr="009A4889">
        <w:rPr>
          <w:rFonts w:eastAsia="Times New Roman" w:cs="Times New Roman"/>
          <w:sz w:val="20"/>
          <w:szCs w:val="20"/>
        </w:rPr>
        <w:t>University</w:t>
      </w:r>
      <w:r w:rsidRPr="009A4889">
        <w:rPr>
          <w:rFonts w:eastAsia="Times New Roman" w:cs="Times New Roman"/>
          <w:sz w:val="20"/>
          <w:szCs w:val="20"/>
        </w:rPr>
        <w:t xml:space="preserve"> end-users on Canvas.</w:t>
      </w:r>
    </w:p>
    <w:p w14:paraId="448F6DD2" w14:textId="2FF01B10" w:rsidR="005C08A6" w:rsidRPr="009A4889" w:rsidRDefault="005C08A6" w:rsidP="00981416">
      <w:pPr>
        <w:pStyle w:val="ListParagraph"/>
        <w:numPr>
          <w:ilvl w:val="0"/>
          <w:numId w:val="2"/>
        </w:numPr>
        <w:spacing w:before="240" w:line="240" w:lineRule="auto"/>
        <w:rPr>
          <w:rFonts w:eastAsia="Times New Roman" w:cs="Times New Roman"/>
          <w:sz w:val="20"/>
          <w:szCs w:val="20"/>
        </w:rPr>
      </w:pPr>
      <w:r w:rsidRPr="009A4889">
        <w:rPr>
          <w:rFonts w:eastAsia="Times New Roman" w:cs="Times New Roman"/>
          <w:sz w:val="20"/>
          <w:szCs w:val="20"/>
        </w:rPr>
        <w:t xml:space="preserve">Canvas </w:t>
      </w:r>
      <w:r w:rsidR="00030DB8">
        <w:rPr>
          <w:rFonts w:eastAsia="Times New Roman" w:cs="Times New Roman"/>
          <w:sz w:val="20"/>
          <w:szCs w:val="20"/>
        </w:rPr>
        <w:t>provides the capability for end-</w:t>
      </w:r>
      <w:bookmarkStart w:id="0" w:name="_GoBack"/>
      <w:bookmarkEnd w:id="0"/>
      <w:r w:rsidRPr="009A4889">
        <w:rPr>
          <w:rFonts w:eastAsia="Times New Roman" w:cs="Times New Roman"/>
          <w:sz w:val="20"/>
          <w:szCs w:val="20"/>
        </w:rPr>
        <w:t>users to authenticate their identity.</w:t>
      </w:r>
    </w:p>
    <w:p w14:paraId="4D74E7FB" w14:textId="3C22B47F" w:rsidR="005C08A6" w:rsidRPr="009A4889" w:rsidRDefault="005C08A6" w:rsidP="00981416">
      <w:pPr>
        <w:pStyle w:val="ListParagraph"/>
        <w:numPr>
          <w:ilvl w:val="0"/>
          <w:numId w:val="2"/>
        </w:numPr>
        <w:spacing w:before="240" w:line="240" w:lineRule="auto"/>
        <w:rPr>
          <w:rFonts w:eastAsia="Times New Roman" w:cs="Times New Roman"/>
          <w:sz w:val="20"/>
          <w:szCs w:val="20"/>
        </w:rPr>
      </w:pPr>
      <w:r w:rsidRPr="009A4889">
        <w:rPr>
          <w:rFonts w:eastAsia="Times New Roman" w:cs="Times New Roman"/>
          <w:sz w:val="20"/>
          <w:szCs w:val="20"/>
        </w:rPr>
        <w:t xml:space="preserve">Other capabilities that the Vendor seeks to leverage through </w:t>
      </w:r>
      <w:r w:rsidR="00F57E86" w:rsidRPr="009A4889">
        <w:rPr>
          <w:rFonts w:eastAsia="Times New Roman" w:cs="Times New Roman"/>
          <w:sz w:val="20"/>
          <w:szCs w:val="20"/>
        </w:rPr>
        <w:t xml:space="preserve">Canvas </w:t>
      </w:r>
      <w:r w:rsidRPr="009A4889">
        <w:rPr>
          <w:rFonts w:eastAsia="Times New Roman" w:cs="Times New Roman"/>
          <w:sz w:val="20"/>
          <w:szCs w:val="20"/>
        </w:rPr>
        <w:t>include:</w:t>
      </w:r>
    </w:p>
    <w:p w14:paraId="0F7C7185" w14:textId="29CC9143" w:rsidR="009A4889" w:rsidRPr="009A4889" w:rsidRDefault="009A4889" w:rsidP="009A4889">
      <w:pPr>
        <w:pStyle w:val="ListParagraph"/>
        <w:numPr>
          <w:ilvl w:val="1"/>
          <w:numId w:val="2"/>
        </w:numPr>
        <w:spacing w:after="0" w:line="240" w:lineRule="auto"/>
        <w:ind w:left="630" w:hanging="270"/>
        <w:rPr>
          <w:rFonts w:eastAsia="Times New Roman" w:cs="Times New Roman"/>
          <w:sz w:val="20"/>
          <w:szCs w:val="20"/>
        </w:rPr>
      </w:pPr>
      <w:r w:rsidRPr="009A4889">
        <w:rPr>
          <w:rFonts w:eastAsia="Times New Roman" w:cs="Times New Roman"/>
          <w:color w:val="000000"/>
          <w:sz w:val="20"/>
          <w:szCs w:val="20"/>
        </w:rPr>
        <w:t xml:space="preserve">Access to </w:t>
      </w:r>
      <w:r>
        <w:rPr>
          <w:rFonts w:eastAsia="Times New Roman" w:cs="Times New Roman"/>
          <w:color w:val="000000"/>
          <w:sz w:val="20"/>
          <w:szCs w:val="20"/>
        </w:rPr>
        <w:t>general University course catalog information (e.g. course title and</w:t>
      </w:r>
      <w:r w:rsidRPr="009A4889">
        <w:rPr>
          <w:rFonts w:eastAsia="Times New Roman" w:cs="Times New Roman"/>
          <w:color w:val="000000"/>
          <w:sz w:val="20"/>
          <w:szCs w:val="20"/>
        </w:rPr>
        <w:t xml:space="preserve"> instructors</w:t>
      </w:r>
      <w:r>
        <w:rPr>
          <w:rFonts w:eastAsia="Times New Roman" w:cs="Times New Roman"/>
          <w:color w:val="000000"/>
          <w:sz w:val="20"/>
          <w:szCs w:val="20"/>
        </w:rPr>
        <w:t>)</w:t>
      </w:r>
      <w:r w:rsidRPr="009A4889">
        <w:rPr>
          <w:rFonts w:eastAsia="Times New Roman" w:cs="Times New Roman"/>
          <w:color w:val="000000"/>
          <w:sz w:val="20"/>
          <w:szCs w:val="20"/>
        </w:rPr>
        <w:t xml:space="preserve">. </w:t>
      </w:r>
    </w:p>
    <w:p w14:paraId="18F46818" w14:textId="4459BAC0" w:rsidR="00A27EE1" w:rsidRPr="009A4889" w:rsidRDefault="00F57E86" w:rsidP="009A4889">
      <w:pPr>
        <w:pStyle w:val="ListParagraph"/>
        <w:numPr>
          <w:ilvl w:val="1"/>
          <w:numId w:val="2"/>
        </w:numPr>
        <w:spacing w:after="0" w:line="240" w:lineRule="auto"/>
        <w:ind w:left="630" w:hanging="270"/>
        <w:rPr>
          <w:rFonts w:eastAsia="Times New Roman" w:cs="Times New Roman"/>
          <w:sz w:val="20"/>
          <w:szCs w:val="20"/>
        </w:rPr>
      </w:pPr>
      <w:r w:rsidRPr="009A4889">
        <w:rPr>
          <w:rFonts w:eastAsia="Times New Roman" w:cs="Times New Roman"/>
          <w:color w:val="000000"/>
          <w:sz w:val="20"/>
          <w:szCs w:val="20"/>
        </w:rPr>
        <w:t>Access to</w:t>
      </w:r>
      <w:r w:rsidR="00981416" w:rsidRPr="009A4889">
        <w:rPr>
          <w:rFonts w:eastAsia="Times New Roman" w:cs="Times New Roman"/>
          <w:color w:val="000000"/>
          <w:sz w:val="20"/>
          <w:szCs w:val="20"/>
        </w:rPr>
        <w:t xml:space="preserve"> certain</w:t>
      </w:r>
      <w:r w:rsidRPr="009A4889">
        <w:rPr>
          <w:rFonts w:eastAsia="Times New Roman" w:cs="Times New Roman"/>
          <w:color w:val="000000"/>
          <w:sz w:val="20"/>
          <w:szCs w:val="20"/>
        </w:rPr>
        <w:t xml:space="preserve"> </w:t>
      </w:r>
      <w:r w:rsidR="00376726" w:rsidRPr="009A4889">
        <w:rPr>
          <w:rFonts w:eastAsia="Times New Roman" w:cs="Times New Roman"/>
          <w:color w:val="000000"/>
          <w:sz w:val="20"/>
          <w:szCs w:val="20"/>
        </w:rPr>
        <w:t xml:space="preserve">information about </w:t>
      </w:r>
      <w:r w:rsidR="009A4889">
        <w:rPr>
          <w:rFonts w:eastAsia="Times New Roman" w:cs="Times New Roman"/>
          <w:color w:val="000000"/>
          <w:sz w:val="20"/>
          <w:szCs w:val="20"/>
        </w:rPr>
        <w:t xml:space="preserve">which </w:t>
      </w:r>
      <w:r w:rsidR="00376726" w:rsidRPr="009A4889">
        <w:rPr>
          <w:rFonts w:eastAsia="Times New Roman" w:cs="Times New Roman"/>
          <w:color w:val="000000"/>
          <w:sz w:val="20"/>
          <w:szCs w:val="20"/>
        </w:rPr>
        <w:t>course</w:t>
      </w:r>
      <w:r w:rsidR="005C08A6" w:rsidRPr="009A4889">
        <w:rPr>
          <w:rFonts w:eastAsia="Times New Roman" w:cs="Times New Roman"/>
          <w:color w:val="000000"/>
          <w:sz w:val="20"/>
          <w:szCs w:val="20"/>
        </w:rPr>
        <w:t xml:space="preserve">s </w:t>
      </w:r>
      <w:r w:rsidR="009A4889">
        <w:rPr>
          <w:rFonts w:eastAsia="Times New Roman" w:cs="Times New Roman"/>
          <w:color w:val="000000"/>
          <w:sz w:val="20"/>
          <w:szCs w:val="20"/>
        </w:rPr>
        <w:t>use</w:t>
      </w:r>
      <w:r w:rsidR="00277619" w:rsidRPr="009A4889">
        <w:rPr>
          <w:rFonts w:eastAsia="Times New Roman" w:cs="Times New Roman"/>
          <w:color w:val="000000"/>
          <w:sz w:val="20"/>
          <w:szCs w:val="20"/>
        </w:rPr>
        <w:t xml:space="preserve"> the vendor’s </w:t>
      </w:r>
      <w:r w:rsidR="005C08A6" w:rsidRPr="009A4889">
        <w:rPr>
          <w:rFonts w:eastAsia="Times New Roman" w:cs="Times New Roman"/>
          <w:color w:val="000000"/>
          <w:sz w:val="20"/>
          <w:szCs w:val="20"/>
        </w:rPr>
        <w:t>LTI</w:t>
      </w:r>
      <w:r w:rsidR="009A4889">
        <w:rPr>
          <w:rFonts w:eastAsia="Times New Roman" w:cs="Times New Roman"/>
          <w:color w:val="000000"/>
          <w:sz w:val="20"/>
          <w:szCs w:val="20"/>
        </w:rPr>
        <w:t>-enabled Application(s)</w:t>
      </w:r>
      <w:r w:rsidR="00172467" w:rsidRPr="009A4889">
        <w:rPr>
          <w:rFonts w:eastAsia="Times New Roman" w:cs="Times New Roman"/>
          <w:color w:val="000000"/>
          <w:sz w:val="20"/>
          <w:szCs w:val="20"/>
        </w:rPr>
        <w:t>.</w:t>
      </w:r>
    </w:p>
    <w:p w14:paraId="7ED572BA" w14:textId="62EDF33A" w:rsidR="00A27EE1" w:rsidRPr="009A4889" w:rsidRDefault="00277619" w:rsidP="009A4889">
      <w:pPr>
        <w:pStyle w:val="ListParagraph"/>
        <w:numPr>
          <w:ilvl w:val="1"/>
          <w:numId w:val="2"/>
        </w:numPr>
        <w:spacing w:after="0" w:line="240" w:lineRule="auto"/>
        <w:ind w:left="630" w:hanging="270"/>
        <w:rPr>
          <w:rFonts w:eastAsia="Times New Roman" w:cs="Times New Roman"/>
          <w:sz w:val="20"/>
          <w:szCs w:val="20"/>
        </w:rPr>
      </w:pPr>
      <w:r w:rsidRPr="009A4889">
        <w:rPr>
          <w:rFonts w:eastAsia="Times New Roman" w:cs="Times New Roman"/>
          <w:color w:val="000000"/>
          <w:sz w:val="20"/>
          <w:szCs w:val="20"/>
        </w:rPr>
        <w:t xml:space="preserve">Access to read certain data that Vendor </w:t>
      </w:r>
      <w:r w:rsidR="00A27EE1" w:rsidRPr="009A4889">
        <w:rPr>
          <w:rFonts w:eastAsia="Times New Roman" w:cs="Times New Roman"/>
          <w:color w:val="000000"/>
          <w:sz w:val="20"/>
          <w:szCs w:val="20"/>
        </w:rPr>
        <w:t xml:space="preserve">and </w:t>
      </w:r>
      <w:r w:rsidR="00981416" w:rsidRPr="009A4889">
        <w:rPr>
          <w:rFonts w:eastAsia="Times New Roman" w:cs="Times New Roman"/>
          <w:color w:val="000000"/>
          <w:sz w:val="20"/>
          <w:szCs w:val="20"/>
        </w:rPr>
        <w:t>University</w:t>
      </w:r>
      <w:r w:rsidR="00A27EE1" w:rsidRPr="009A4889">
        <w:rPr>
          <w:rFonts w:eastAsia="Times New Roman" w:cs="Times New Roman"/>
          <w:color w:val="000000"/>
          <w:sz w:val="20"/>
          <w:szCs w:val="20"/>
        </w:rPr>
        <w:t xml:space="preserve"> agree are relatively more sensitive</w:t>
      </w:r>
      <w:r w:rsidRPr="009A4889">
        <w:rPr>
          <w:rFonts w:eastAsia="Times New Roman" w:cs="Times New Roman"/>
          <w:color w:val="000000"/>
          <w:sz w:val="20"/>
          <w:szCs w:val="20"/>
        </w:rPr>
        <w:t xml:space="preserve"> and require</w:t>
      </w:r>
      <w:r w:rsidR="00A27EE1" w:rsidRPr="009A4889">
        <w:rPr>
          <w:rFonts w:eastAsia="Times New Roman" w:cs="Times New Roman"/>
          <w:color w:val="000000"/>
          <w:sz w:val="20"/>
          <w:szCs w:val="20"/>
        </w:rPr>
        <w:t xml:space="preserve"> greater technical and administrative skill and effort in order to meet the expected standar</w:t>
      </w:r>
      <w:r w:rsidRPr="009A4889">
        <w:rPr>
          <w:rFonts w:eastAsia="Times New Roman" w:cs="Times New Roman"/>
          <w:color w:val="000000"/>
          <w:sz w:val="20"/>
          <w:szCs w:val="20"/>
        </w:rPr>
        <w:t>d of due care; such as (by way of example, not limitation):</w:t>
      </w:r>
    </w:p>
    <w:p w14:paraId="5D9F364A" w14:textId="16F683B9" w:rsidR="00A27EE1" w:rsidRPr="009A4889" w:rsidRDefault="00376726" w:rsidP="009A4889">
      <w:pPr>
        <w:pStyle w:val="ListParagraph"/>
        <w:numPr>
          <w:ilvl w:val="2"/>
          <w:numId w:val="2"/>
        </w:numPr>
        <w:spacing w:after="0" w:line="240" w:lineRule="auto"/>
        <w:rPr>
          <w:rFonts w:eastAsia="Times New Roman" w:cs="Times New Roman"/>
          <w:sz w:val="20"/>
          <w:szCs w:val="20"/>
        </w:rPr>
      </w:pPr>
      <w:r w:rsidRPr="009A4889">
        <w:rPr>
          <w:rFonts w:eastAsia="Times New Roman" w:cs="Times New Roman"/>
          <w:color w:val="000000"/>
          <w:sz w:val="20"/>
          <w:szCs w:val="20"/>
        </w:rPr>
        <w:t>c</w:t>
      </w:r>
      <w:r w:rsidR="00277619" w:rsidRPr="009A4889">
        <w:rPr>
          <w:rFonts w:eastAsia="Times New Roman" w:cs="Times New Roman"/>
          <w:color w:val="000000"/>
          <w:sz w:val="20"/>
          <w:szCs w:val="20"/>
        </w:rPr>
        <w:t>lass roster</w:t>
      </w:r>
    </w:p>
    <w:p w14:paraId="3FF2A44D" w14:textId="77777777" w:rsidR="00A27EE1" w:rsidRPr="009A4889" w:rsidRDefault="00376726" w:rsidP="009A4889">
      <w:pPr>
        <w:pStyle w:val="ListParagraph"/>
        <w:numPr>
          <w:ilvl w:val="2"/>
          <w:numId w:val="2"/>
        </w:numPr>
        <w:spacing w:after="0" w:line="240" w:lineRule="auto"/>
        <w:rPr>
          <w:rFonts w:eastAsia="Times New Roman" w:cs="Times New Roman"/>
          <w:sz w:val="20"/>
          <w:szCs w:val="20"/>
        </w:rPr>
      </w:pPr>
      <w:r w:rsidRPr="009A4889">
        <w:rPr>
          <w:rFonts w:eastAsia="Times New Roman" w:cs="Times New Roman"/>
          <w:color w:val="000000"/>
          <w:sz w:val="20"/>
          <w:szCs w:val="20"/>
        </w:rPr>
        <w:t>student email addresses</w:t>
      </w:r>
    </w:p>
    <w:p w14:paraId="5A95FBA2" w14:textId="77777777" w:rsidR="00A27EE1" w:rsidRPr="009A4889" w:rsidRDefault="00376726" w:rsidP="009A4889">
      <w:pPr>
        <w:pStyle w:val="ListParagraph"/>
        <w:numPr>
          <w:ilvl w:val="2"/>
          <w:numId w:val="2"/>
        </w:numPr>
        <w:spacing w:after="0" w:line="240" w:lineRule="auto"/>
        <w:rPr>
          <w:rFonts w:eastAsia="Times New Roman" w:cs="Times New Roman"/>
          <w:sz w:val="20"/>
          <w:szCs w:val="20"/>
        </w:rPr>
      </w:pPr>
      <w:r w:rsidRPr="009A4889">
        <w:rPr>
          <w:rFonts w:eastAsia="Times New Roman" w:cs="Times New Roman"/>
          <w:color w:val="000000"/>
          <w:sz w:val="20"/>
          <w:szCs w:val="20"/>
        </w:rPr>
        <w:t>student scores on assignments</w:t>
      </w:r>
    </w:p>
    <w:p w14:paraId="096F4F94" w14:textId="2023C2B8" w:rsidR="00277619" w:rsidRPr="009A4889" w:rsidRDefault="00277619" w:rsidP="00981416">
      <w:pPr>
        <w:pStyle w:val="ListParagraph"/>
        <w:numPr>
          <w:ilvl w:val="0"/>
          <w:numId w:val="2"/>
        </w:numPr>
        <w:spacing w:before="240" w:line="240" w:lineRule="auto"/>
        <w:rPr>
          <w:rFonts w:eastAsia="Times New Roman" w:cs="Times New Roman"/>
          <w:sz w:val="20"/>
          <w:szCs w:val="20"/>
        </w:rPr>
      </w:pPr>
      <w:r w:rsidRPr="009A4889">
        <w:rPr>
          <w:rFonts w:eastAsia="Times New Roman" w:cs="Times New Roman"/>
          <w:sz w:val="20"/>
          <w:szCs w:val="20"/>
        </w:rPr>
        <w:t xml:space="preserve">The </w:t>
      </w:r>
      <w:r w:rsidR="00981416" w:rsidRPr="009A4889">
        <w:rPr>
          <w:rFonts w:eastAsia="Times New Roman" w:cs="Times New Roman"/>
          <w:sz w:val="20"/>
          <w:szCs w:val="20"/>
        </w:rPr>
        <w:t>University</w:t>
      </w:r>
      <w:r w:rsidRPr="009A4889">
        <w:rPr>
          <w:rFonts w:eastAsia="Times New Roman" w:cs="Times New Roman"/>
          <w:sz w:val="20"/>
          <w:szCs w:val="20"/>
        </w:rPr>
        <w:t xml:space="preserve"> Canvas LTI interface does not provide access to read logs of user access and activity. Vendor </w:t>
      </w:r>
      <w:r w:rsidR="003C686B" w:rsidRPr="009A4889">
        <w:rPr>
          <w:rFonts w:eastAsia="Times New Roman" w:cs="Times New Roman"/>
          <w:sz w:val="20"/>
          <w:szCs w:val="20"/>
        </w:rPr>
        <w:t xml:space="preserve">agrees that this Contract does </w:t>
      </w:r>
      <w:r w:rsidR="003C686B" w:rsidRPr="009A4889">
        <w:rPr>
          <w:rFonts w:eastAsia="Times New Roman" w:cs="Times New Roman"/>
          <w:sz w:val="20"/>
          <w:szCs w:val="20"/>
          <w:u w:val="single"/>
        </w:rPr>
        <w:t>not</w:t>
      </w:r>
      <w:r w:rsidR="003C686B" w:rsidRPr="009A4889">
        <w:rPr>
          <w:rFonts w:eastAsia="Times New Roman" w:cs="Times New Roman"/>
          <w:sz w:val="20"/>
          <w:szCs w:val="20"/>
        </w:rPr>
        <w:t xml:space="preserve"> grant Vendor permission to read Canvas access logs.</w:t>
      </w:r>
    </w:p>
    <w:p w14:paraId="19BFC79D" w14:textId="61FA9BDC" w:rsidR="00A27EE1" w:rsidRPr="009A4889" w:rsidRDefault="00A27EE1" w:rsidP="00981416">
      <w:pPr>
        <w:pStyle w:val="ListParagraph"/>
        <w:numPr>
          <w:ilvl w:val="0"/>
          <w:numId w:val="2"/>
        </w:numPr>
        <w:spacing w:before="240" w:line="240" w:lineRule="auto"/>
        <w:rPr>
          <w:rFonts w:eastAsia="Times New Roman" w:cs="Times New Roman"/>
          <w:b/>
          <w:smallCaps/>
          <w:sz w:val="20"/>
          <w:szCs w:val="20"/>
        </w:rPr>
      </w:pPr>
      <w:r w:rsidRPr="009A4889">
        <w:rPr>
          <w:rFonts w:eastAsia="Times New Roman" w:cs="Times New Roman"/>
          <w:b/>
          <w:smallCaps/>
          <w:color w:val="000000"/>
          <w:sz w:val="20"/>
          <w:szCs w:val="20"/>
        </w:rPr>
        <w:t xml:space="preserve">Vendor has or shall promptly execute </w:t>
      </w:r>
      <w:r w:rsidR="00626DB3" w:rsidRPr="009A4889">
        <w:rPr>
          <w:rFonts w:eastAsia="Times New Roman" w:cs="Times New Roman"/>
          <w:b/>
          <w:smallCaps/>
          <w:color w:val="000000"/>
          <w:sz w:val="20"/>
          <w:szCs w:val="20"/>
        </w:rPr>
        <w:t>the University’s</w:t>
      </w:r>
      <w:r w:rsidRPr="009A4889">
        <w:rPr>
          <w:rFonts w:eastAsia="Times New Roman" w:cs="Times New Roman"/>
          <w:b/>
          <w:smallCaps/>
          <w:color w:val="000000"/>
          <w:sz w:val="20"/>
          <w:szCs w:val="20"/>
        </w:rPr>
        <w:t xml:space="preserve"> Data Security and Privacy Agreement </w:t>
      </w:r>
      <w:r w:rsidR="00626DB3" w:rsidRPr="009A4889">
        <w:rPr>
          <w:rFonts w:eastAsia="Times New Roman" w:cs="Times New Roman"/>
          <w:b/>
          <w:smallCaps/>
          <w:color w:val="000000"/>
          <w:sz w:val="20"/>
          <w:szCs w:val="20"/>
        </w:rPr>
        <w:t xml:space="preserve">(DSPA) </w:t>
      </w:r>
      <w:r w:rsidRPr="009A4889">
        <w:rPr>
          <w:rFonts w:eastAsia="Times New Roman" w:cs="Times New Roman"/>
          <w:b/>
          <w:smallCaps/>
          <w:color w:val="000000"/>
          <w:sz w:val="20"/>
          <w:szCs w:val="20"/>
        </w:rPr>
        <w:t>with the University</w:t>
      </w:r>
      <w:r w:rsidR="00F57E86" w:rsidRPr="009A4889">
        <w:rPr>
          <w:rFonts w:eastAsia="Times New Roman" w:cs="Times New Roman"/>
          <w:b/>
          <w:smallCaps/>
          <w:color w:val="000000"/>
          <w:sz w:val="20"/>
          <w:szCs w:val="20"/>
        </w:rPr>
        <w:t xml:space="preserve">, which is incorporated into this contract by reference. </w:t>
      </w:r>
    </w:p>
    <w:p w14:paraId="6D598D00" w14:textId="1A851052" w:rsidR="00950ACD" w:rsidRPr="009A4889" w:rsidRDefault="004E5EFD" w:rsidP="00981416">
      <w:pPr>
        <w:pStyle w:val="ListParagraph"/>
        <w:numPr>
          <w:ilvl w:val="0"/>
          <w:numId w:val="2"/>
        </w:numPr>
        <w:spacing w:before="240" w:line="240" w:lineRule="auto"/>
        <w:rPr>
          <w:rFonts w:eastAsia="Times New Roman" w:cs="Times New Roman"/>
          <w:sz w:val="20"/>
          <w:szCs w:val="20"/>
        </w:rPr>
      </w:pPr>
      <w:r w:rsidRPr="009A4889">
        <w:rPr>
          <w:rFonts w:eastAsia="Times New Roman" w:cs="Times New Roman"/>
          <w:sz w:val="20"/>
          <w:szCs w:val="20"/>
        </w:rPr>
        <w:t>The “Work” under the DSPA shall apply to all Vendor operations, actions, and endeavors arising from Vendor’s use of Canvas and/or LTI with Canvas.</w:t>
      </w:r>
    </w:p>
    <w:p w14:paraId="0D93E689" w14:textId="619DC796" w:rsidR="00172467" w:rsidRDefault="00166578" w:rsidP="00172467">
      <w:pPr>
        <w:pStyle w:val="ListParagraph"/>
        <w:numPr>
          <w:ilvl w:val="0"/>
          <w:numId w:val="2"/>
        </w:numPr>
        <w:spacing w:after="0" w:line="240" w:lineRule="auto"/>
        <w:rPr>
          <w:rFonts w:eastAsia="Times New Roman" w:cs="Times New Roman"/>
          <w:sz w:val="20"/>
          <w:szCs w:val="20"/>
        </w:rPr>
      </w:pPr>
      <w:r w:rsidRPr="009A4889">
        <w:rPr>
          <w:rFonts w:eastAsia="Times New Roman" w:cs="Times New Roman"/>
          <w:sz w:val="20"/>
          <w:szCs w:val="20"/>
        </w:rPr>
        <w:t xml:space="preserve">In accordance with DSPA section III.3.b, </w:t>
      </w:r>
      <w:r w:rsidR="00172467" w:rsidRPr="009A4889">
        <w:rPr>
          <w:rFonts w:eastAsia="Times New Roman" w:cs="Times New Roman"/>
          <w:sz w:val="20"/>
          <w:szCs w:val="20"/>
        </w:rPr>
        <w:t>Vendor acknowledges that access to information described in this subsection 5.c may be considered “education records” and/or personally identifiable information from education records as defined by the Family Educational Rights and Privacy Act (FERPA) (20 U.S.C. § 1232g; 34 CFR Part 99).  Vendor and University agree that this information will be shared only to the extent necessary and consistent with a “legitimate educational interest.”  Vendor further acknowledges that it will be designated as a “school official,” and agrees to develop, implement, maintain, and use appropriate administrative, technical, and physical security measures the confidentiality of this data and prevent re-disclosure.  Re-disclosure (including use of the data for any purpose other than use in coursework as described above) of the data referenced in this subsection, or other data determined to be subject to FERPA that is accessed as part of this agreement, is prohibited.  Vendor acknowledges that it is under the direct control of University with respect to the use and maintenance of FERPA-protected data related to University students.</w:t>
      </w:r>
    </w:p>
    <w:p w14:paraId="1862F855" w14:textId="1D0CDF1E" w:rsidR="004E5EFD" w:rsidRPr="004170A8" w:rsidRDefault="004170A8" w:rsidP="00881961">
      <w:pPr>
        <w:pStyle w:val="ListParagraph"/>
        <w:numPr>
          <w:ilvl w:val="0"/>
          <w:numId w:val="2"/>
        </w:numPr>
        <w:spacing w:before="240" w:after="0" w:line="240" w:lineRule="auto"/>
        <w:rPr>
          <w:rFonts w:eastAsia="Times New Roman" w:cs="Times New Roman"/>
          <w:sz w:val="20"/>
          <w:szCs w:val="20"/>
        </w:rPr>
      </w:pPr>
      <w:r w:rsidRPr="004170A8">
        <w:rPr>
          <w:rFonts w:eastAsia="Times New Roman" w:cs="Times New Roman"/>
          <w:sz w:val="20"/>
          <w:szCs w:val="20"/>
        </w:rPr>
        <w:t>Vendor recognizes that University is an agency of the State of Washington, and as such is subject to public records and records retention laws (Chapter 42.56 RCW and 40.14 respectively).  Vendor agrees to retain records related to University in accordance with applicable records retention laws and rules, and agrees to fully and timely cooperate with the University should it be contacted regarding access to those records in response to a public records act request.</w:t>
      </w:r>
    </w:p>
    <w:p w14:paraId="27DD8655" w14:textId="77777777" w:rsidR="004E5EFD" w:rsidRPr="009A4889" w:rsidRDefault="004E5EFD" w:rsidP="004E5EFD">
      <w:pPr>
        <w:rPr>
          <w:b/>
          <w:sz w:val="20"/>
          <w:szCs w:val="20"/>
        </w:rPr>
      </w:pPr>
      <w:r w:rsidRPr="009A4889">
        <w:rPr>
          <w:b/>
          <w:sz w:val="20"/>
          <w:szCs w:val="20"/>
        </w:rPr>
        <w:t>IN WITNESS WHEREOF, this Contract has been executed as of the date of the last party to sign below (“Effective Date”). If signed in counterparts, then each shall be considered an original thereof.</w:t>
      </w:r>
    </w:p>
    <w:tbl>
      <w:tblPr>
        <w:tblW w:w="0" w:type="auto"/>
        <w:tblLook w:val="01E0" w:firstRow="1" w:lastRow="1" w:firstColumn="1" w:lastColumn="1" w:noHBand="0" w:noVBand="0"/>
      </w:tblPr>
      <w:tblGrid>
        <w:gridCol w:w="4694"/>
        <w:gridCol w:w="4666"/>
      </w:tblGrid>
      <w:tr w:rsidR="004E5EFD" w:rsidRPr="009A4889" w14:paraId="5BFC46C5" w14:textId="77777777" w:rsidTr="004170A8">
        <w:tc>
          <w:tcPr>
            <w:tcW w:w="4694" w:type="dxa"/>
            <w:vAlign w:val="center"/>
          </w:tcPr>
          <w:p w14:paraId="11E7A047" w14:textId="77777777" w:rsidR="004E5EFD" w:rsidRPr="009A4889" w:rsidRDefault="004E5EFD" w:rsidP="004E5EFD">
            <w:pPr>
              <w:spacing w:after="0"/>
              <w:rPr>
                <w:b/>
                <w:sz w:val="20"/>
                <w:szCs w:val="20"/>
              </w:rPr>
            </w:pPr>
            <w:r w:rsidRPr="009A4889">
              <w:rPr>
                <w:b/>
                <w:sz w:val="20"/>
                <w:szCs w:val="20"/>
              </w:rPr>
              <w:t>UNIVERSITY</w:t>
            </w:r>
          </w:p>
        </w:tc>
        <w:tc>
          <w:tcPr>
            <w:tcW w:w="4666" w:type="dxa"/>
          </w:tcPr>
          <w:p w14:paraId="7DFC880D" w14:textId="77777777" w:rsidR="004E5EFD" w:rsidRPr="009A4889" w:rsidRDefault="004E5EFD" w:rsidP="004E5EFD">
            <w:pPr>
              <w:spacing w:after="0"/>
              <w:rPr>
                <w:b/>
                <w:sz w:val="20"/>
                <w:szCs w:val="20"/>
              </w:rPr>
            </w:pPr>
            <w:r w:rsidRPr="009A4889">
              <w:rPr>
                <w:b/>
                <w:sz w:val="20"/>
                <w:szCs w:val="20"/>
              </w:rPr>
              <w:t>VENDOR</w:t>
            </w:r>
          </w:p>
        </w:tc>
      </w:tr>
    </w:tbl>
    <w:p w14:paraId="5DABF726" w14:textId="77777777" w:rsidR="004E5EFD" w:rsidRPr="009A4889" w:rsidRDefault="004E5EFD" w:rsidP="004E5EFD">
      <w:pPr>
        <w:spacing w:after="0"/>
        <w:rPr>
          <w:b/>
          <w:sz w:val="20"/>
          <w:szCs w:val="20"/>
          <w:u w:val="single"/>
        </w:rPr>
      </w:pPr>
      <w:r w:rsidRPr="009A4889">
        <w:rPr>
          <w:b/>
          <w:sz w:val="20"/>
          <w:szCs w:val="20"/>
        </w:rPr>
        <w:t>X:</w:t>
      </w:r>
      <w:r w:rsidRPr="009A4889">
        <w:rPr>
          <w:b/>
          <w:sz w:val="20"/>
          <w:szCs w:val="20"/>
        </w:rPr>
        <w:tab/>
      </w:r>
      <w:r w:rsidRPr="009A4889">
        <w:rPr>
          <w:b/>
          <w:sz w:val="20"/>
          <w:szCs w:val="20"/>
          <w:u w:val="single"/>
        </w:rPr>
        <w:tab/>
      </w:r>
      <w:r w:rsidRPr="009A4889">
        <w:rPr>
          <w:b/>
          <w:sz w:val="20"/>
          <w:szCs w:val="20"/>
          <w:u w:val="single"/>
        </w:rPr>
        <w:tab/>
      </w:r>
      <w:r w:rsidRPr="009A4889">
        <w:rPr>
          <w:b/>
          <w:sz w:val="20"/>
          <w:szCs w:val="20"/>
          <w:u w:val="single"/>
        </w:rPr>
        <w:tab/>
      </w:r>
      <w:r w:rsidRPr="009A4889">
        <w:rPr>
          <w:b/>
          <w:sz w:val="20"/>
          <w:szCs w:val="20"/>
          <w:u w:val="single"/>
        </w:rPr>
        <w:tab/>
      </w:r>
      <w:r w:rsidRPr="009A4889">
        <w:rPr>
          <w:b/>
          <w:sz w:val="20"/>
          <w:szCs w:val="20"/>
        </w:rPr>
        <w:tab/>
        <w:t>X:</w:t>
      </w:r>
      <w:r w:rsidRPr="009A4889">
        <w:rPr>
          <w:b/>
          <w:sz w:val="20"/>
          <w:szCs w:val="20"/>
        </w:rPr>
        <w:tab/>
      </w:r>
      <w:r w:rsidRPr="009A4889">
        <w:rPr>
          <w:b/>
          <w:sz w:val="20"/>
          <w:szCs w:val="20"/>
          <w:u w:val="single"/>
        </w:rPr>
        <w:tab/>
      </w:r>
      <w:r w:rsidRPr="009A4889">
        <w:rPr>
          <w:b/>
          <w:sz w:val="20"/>
          <w:szCs w:val="20"/>
          <w:u w:val="single"/>
        </w:rPr>
        <w:tab/>
      </w:r>
      <w:r w:rsidRPr="009A4889">
        <w:rPr>
          <w:b/>
          <w:sz w:val="20"/>
          <w:szCs w:val="20"/>
          <w:u w:val="single"/>
        </w:rPr>
        <w:tab/>
      </w:r>
      <w:r w:rsidRPr="009A4889">
        <w:rPr>
          <w:b/>
          <w:sz w:val="20"/>
          <w:szCs w:val="20"/>
          <w:u w:val="single"/>
        </w:rPr>
        <w:tab/>
      </w:r>
    </w:p>
    <w:p w14:paraId="293542F9" w14:textId="77777777" w:rsidR="004E5EFD" w:rsidRPr="009A4889" w:rsidRDefault="004E5EFD" w:rsidP="004E5EFD">
      <w:pPr>
        <w:spacing w:after="0"/>
        <w:rPr>
          <w:b/>
          <w:sz w:val="20"/>
          <w:szCs w:val="20"/>
        </w:rPr>
      </w:pPr>
    </w:p>
    <w:p w14:paraId="7B571FF2" w14:textId="77777777" w:rsidR="004E5EFD" w:rsidRPr="009A4889" w:rsidRDefault="004E5EFD" w:rsidP="004E5EFD">
      <w:pPr>
        <w:spacing w:after="0"/>
        <w:rPr>
          <w:b/>
          <w:sz w:val="20"/>
          <w:szCs w:val="20"/>
        </w:rPr>
      </w:pPr>
      <w:r w:rsidRPr="009A4889">
        <w:rPr>
          <w:b/>
          <w:sz w:val="20"/>
          <w:szCs w:val="20"/>
        </w:rPr>
        <w:t xml:space="preserve">By: </w:t>
      </w:r>
      <w:r w:rsidRPr="009A4889">
        <w:rPr>
          <w:b/>
          <w:sz w:val="20"/>
          <w:szCs w:val="20"/>
        </w:rPr>
        <w:tab/>
      </w:r>
      <w:r w:rsidRPr="009A4889">
        <w:rPr>
          <w:b/>
          <w:sz w:val="20"/>
          <w:szCs w:val="20"/>
          <w:u w:val="single"/>
        </w:rPr>
        <w:tab/>
      </w:r>
      <w:r w:rsidRPr="009A4889">
        <w:rPr>
          <w:b/>
          <w:sz w:val="20"/>
          <w:szCs w:val="20"/>
          <w:u w:val="single"/>
        </w:rPr>
        <w:tab/>
      </w:r>
      <w:r w:rsidRPr="009A4889">
        <w:rPr>
          <w:b/>
          <w:sz w:val="20"/>
          <w:szCs w:val="20"/>
          <w:u w:val="single"/>
        </w:rPr>
        <w:tab/>
      </w:r>
      <w:r w:rsidRPr="009A4889">
        <w:rPr>
          <w:b/>
          <w:sz w:val="20"/>
          <w:szCs w:val="20"/>
          <w:u w:val="single"/>
        </w:rPr>
        <w:tab/>
      </w:r>
      <w:r w:rsidRPr="009A4889">
        <w:rPr>
          <w:b/>
          <w:sz w:val="20"/>
          <w:szCs w:val="20"/>
        </w:rPr>
        <w:tab/>
        <w:t xml:space="preserve">By: </w:t>
      </w:r>
      <w:r w:rsidRPr="009A4889">
        <w:rPr>
          <w:b/>
          <w:sz w:val="20"/>
          <w:szCs w:val="20"/>
        </w:rPr>
        <w:tab/>
      </w:r>
      <w:r w:rsidRPr="009A4889">
        <w:rPr>
          <w:b/>
          <w:sz w:val="20"/>
          <w:szCs w:val="20"/>
          <w:u w:val="single"/>
        </w:rPr>
        <w:tab/>
      </w:r>
      <w:r w:rsidRPr="009A4889">
        <w:rPr>
          <w:b/>
          <w:sz w:val="20"/>
          <w:szCs w:val="20"/>
          <w:u w:val="single"/>
        </w:rPr>
        <w:tab/>
      </w:r>
      <w:r w:rsidRPr="009A4889">
        <w:rPr>
          <w:b/>
          <w:sz w:val="20"/>
          <w:szCs w:val="20"/>
          <w:u w:val="single"/>
        </w:rPr>
        <w:tab/>
      </w:r>
      <w:r w:rsidRPr="009A4889">
        <w:rPr>
          <w:b/>
          <w:sz w:val="20"/>
          <w:szCs w:val="20"/>
          <w:u w:val="single"/>
        </w:rPr>
        <w:tab/>
      </w:r>
    </w:p>
    <w:p w14:paraId="587190C8" w14:textId="77777777" w:rsidR="004E5EFD" w:rsidRPr="009A4889" w:rsidRDefault="004E5EFD" w:rsidP="004E5EFD">
      <w:pPr>
        <w:spacing w:after="0"/>
        <w:rPr>
          <w:b/>
          <w:sz w:val="20"/>
          <w:szCs w:val="20"/>
        </w:rPr>
      </w:pPr>
    </w:p>
    <w:p w14:paraId="17CC2AE4" w14:textId="77777777" w:rsidR="004E5EFD" w:rsidRPr="009A4889" w:rsidRDefault="004E5EFD" w:rsidP="004E5EFD">
      <w:pPr>
        <w:spacing w:after="0"/>
        <w:rPr>
          <w:b/>
          <w:sz w:val="20"/>
          <w:szCs w:val="20"/>
        </w:rPr>
      </w:pPr>
      <w:r w:rsidRPr="009A4889">
        <w:rPr>
          <w:b/>
          <w:sz w:val="20"/>
          <w:szCs w:val="20"/>
        </w:rPr>
        <w:t xml:space="preserve">Title: </w:t>
      </w:r>
      <w:r w:rsidRPr="009A4889">
        <w:rPr>
          <w:b/>
          <w:sz w:val="20"/>
          <w:szCs w:val="20"/>
        </w:rPr>
        <w:tab/>
      </w:r>
      <w:r w:rsidRPr="009A4889">
        <w:rPr>
          <w:b/>
          <w:sz w:val="20"/>
          <w:szCs w:val="20"/>
          <w:u w:val="single"/>
        </w:rPr>
        <w:tab/>
      </w:r>
      <w:r w:rsidRPr="009A4889">
        <w:rPr>
          <w:b/>
          <w:sz w:val="20"/>
          <w:szCs w:val="20"/>
          <w:u w:val="single"/>
        </w:rPr>
        <w:tab/>
      </w:r>
      <w:r w:rsidRPr="009A4889">
        <w:rPr>
          <w:b/>
          <w:sz w:val="20"/>
          <w:szCs w:val="20"/>
          <w:u w:val="single"/>
        </w:rPr>
        <w:tab/>
      </w:r>
      <w:r w:rsidRPr="009A4889">
        <w:rPr>
          <w:b/>
          <w:sz w:val="20"/>
          <w:szCs w:val="20"/>
          <w:u w:val="single"/>
        </w:rPr>
        <w:tab/>
      </w:r>
      <w:r w:rsidRPr="009A4889">
        <w:rPr>
          <w:b/>
          <w:sz w:val="20"/>
          <w:szCs w:val="20"/>
        </w:rPr>
        <w:tab/>
        <w:t xml:space="preserve">Title: </w:t>
      </w:r>
      <w:r w:rsidRPr="009A4889">
        <w:rPr>
          <w:b/>
          <w:sz w:val="20"/>
          <w:szCs w:val="20"/>
        </w:rPr>
        <w:tab/>
      </w:r>
      <w:r w:rsidRPr="009A4889">
        <w:rPr>
          <w:b/>
          <w:sz w:val="20"/>
          <w:szCs w:val="20"/>
          <w:u w:val="single"/>
        </w:rPr>
        <w:tab/>
      </w:r>
      <w:r w:rsidRPr="009A4889">
        <w:rPr>
          <w:b/>
          <w:sz w:val="20"/>
          <w:szCs w:val="20"/>
          <w:u w:val="single"/>
        </w:rPr>
        <w:tab/>
      </w:r>
      <w:r w:rsidRPr="009A4889">
        <w:rPr>
          <w:b/>
          <w:sz w:val="20"/>
          <w:szCs w:val="20"/>
          <w:u w:val="single"/>
        </w:rPr>
        <w:tab/>
      </w:r>
      <w:r w:rsidRPr="009A4889">
        <w:rPr>
          <w:b/>
          <w:sz w:val="20"/>
          <w:szCs w:val="20"/>
          <w:u w:val="single"/>
        </w:rPr>
        <w:tab/>
      </w:r>
    </w:p>
    <w:p w14:paraId="0E962554" w14:textId="77777777" w:rsidR="004E5EFD" w:rsidRPr="009A4889" w:rsidRDefault="004E5EFD" w:rsidP="004E5EFD">
      <w:pPr>
        <w:spacing w:after="0"/>
        <w:rPr>
          <w:rFonts w:eastAsiaTheme="majorEastAsia" w:cstheme="majorBidi"/>
          <w:kern w:val="2"/>
          <w:sz w:val="20"/>
          <w:szCs w:val="20"/>
          <w14:cntxtAlts/>
        </w:rPr>
      </w:pPr>
    </w:p>
    <w:p w14:paraId="3122B958" w14:textId="77777777" w:rsidR="004E5EFD" w:rsidRPr="009A4889" w:rsidRDefault="004E5EFD" w:rsidP="004E5EFD">
      <w:pPr>
        <w:spacing w:after="0"/>
        <w:rPr>
          <w:b/>
          <w:sz w:val="20"/>
          <w:szCs w:val="20"/>
        </w:rPr>
      </w:pPr>
      <w:r w:rsidRPr="009A4889">
        <w:rPr>
          <w:b/>
          <w:sz w:val="20"/>
          <w:szCs w:val="20"/>
        </w:rPr>
        <w:t xml:space="preserve">Date: </w:t>
      </w:r>
      <w:r w:rsidRPr="009A4889">
        <w:rPr>
          <w:b/>
          <w:sz w:val="20"/>
          <w:szCs w:val="20"/>
        </w:rPr>
        <w:tab/>
      </w:r>
      <w:r w:rsidRPr="009A4889">
        <w:rPr>
          <w:b/>
          <w:sz w:val="20"/>
          <w:szCs w:val="20"/>
          <w:u w:val="single"/>
        </w:rPr>
        <w:tab/>
      </w:r>
      <w:r w:rsidRPr="009A4889">
        <w:rPr>
          <w:b/>
          <w:sz w:val="20"/>
          <w:szCs w:val="20"/>
          <w:u w:val="single"/>
        </w:rPr>
        <w:tab/>
      </w:r>
      <w:r w:rsidRPr="009A4889">
        <w:rPr>
          <w:b/>
          <w:sz w:val="20"/>
          <w:szCs w:val="20"/>
          <w:u w:val="single"/>
        </w:rPr>
        <w:tab/>
      </w:r>
      <w:r w:rsidRPr="009A4889">
        <w:rPr>
          <w:b/>
          <w:sz w:val="20"/>
          <w:szCs w:val="20"/>
          <w:u w:val="single"/>
        </w:rPr>
        <w:tab/>
      </w:r>
      <w:r w:rsidRPr="009A4889">
        <w:rPr>
          <w:b/>
          <w:sz w:val="20"/>
          <w:szCs w:val="20"/>
        </w:rPr>
        <w:tab/>
        <w:t xml:space="preserve">Date: </w:t>
      </w:r>
      <w:r w:rsidRPr="009A4889">
        <w:rPr>
          <w:b/>
          <w:sz w:val="20"/>
          <w:szCs w:val="20"/>
        </w:rPr>
        <w:tab/>
      </w:r>
      <w:r w:rsidRPr="009A4889">
        <w:rPr>
          <w:b/>
          <w:sz w:val="20"/>
          <w:szCs w:val="20"/>
          <w:u w:val="single"/>
        </w:rPr>
        <w:tab/>
      </w:r>
      <w:r w:rsidRPr="009A4889">
        <w:rPr>
          <w:b/>
          <w:sz w:val="20"/>
          <w:szCs w:val="20"/>
          <w:u w:val="single"/>
        </w:rPr>
        <w:tab/>
      </w:r>
      <w:r w:rsidRPr="009A4889">
        <w:rPr>
          <w:b/>
          <w:sz w:val="20"/>
          <w:szCs w:val="20"/>
          <w:u w:val="single"/>
        </w:rPr>
        <w:tab/>
      </w:r>
      <w:r w:rsidRPr="009A4889">
        <w:rPr>
          <w:b/>
          <w:sz w:val="20"/>
          <w:szCs w:val="20"/>
          <w:u w:val="single"/>
        </w:rPr>
        <w:tab/>
      </w:r>
    </w:p>
    <w:p w14:paraId="1C2D36CB" w14:textId="77777777" w:rsidR="004E5EFD" w:rsidRPr="009A4889" w:rsidRDefault="004E5EFD" w:rsidP="004E5EFD">
      <w:pPr>
        <w:spacing w:after="0" w:line="240" w:lineRule="auto"/>
        <w:rPr>
          <w:rFonts w:eastAsia="Times New Roman" w:cs="Times New Roman"/>
          <w:sz w:val="24"/>
          <w:szCs w:val="24"/>
        </w:rPr>
      </w:pPr>
    </w:p>
    <w:sectPr w:rsidR="004E5EFD" w:rsidRPr="009A4889" w:rsidSect="004170A8">
      <w:headerReference w:type="default" r:id="rId7"/>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81F52" w14:textId="77777777" w:rsidR="00D043FC" w:rsidRDefault="00D043FC" w:rsidP="004E5EFD">
      <w:pPr>
        <w:spacing w:after="0" w:line="240" w:lineRule="auto"/>
      </w:pPr>
      <w:r>
        <w:separator/>
      </w:r>
    </w:p>
  </w:endnote>
  <w:endnote w:type="continuationSeparator" w:id="0">
    <w:p w14:paraId="7ED5CE70" w14:textId="77777777" w:rsidR="00D043FC" w:rsidRDefault="00D043FC" w:rsidP="004E5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CCEEE" w14:textId="4F719522" w:rsidR="005F2688" w:rsidRPr="00A84098" w:rsidRDefault="00EC35DD" w:rsidP="00A84098">
    <w:pPr>
      <w:pStyle w:val="Footer"/>
      <w:rPr>
        <w:szCs w:val="16"/>
      </w:rPr>
    </w:pPr>
    <w:r>
      <w:rPr>
        <w:noProof/>
      </w:rPr>
      <w:drawing>
        <wp:inline distT="0" distB="0" distL="0" distR="0" wp14:anchorId="486CB430" wp14:editId="0D497A72">
          <wp:extent cx="1209675" cy="104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Signature_left_sm.gif"/>
                  <pic:cNvPicPr/>
                </pic:nvPicPr>
                <pic:blipFill>
                  <a:blip r:embed="rId1">
                    <a:extLst>
                      <a:ext uri="{28A0092B-C50C-407E-A947-70E740481C1C}">
                        <a14:useLocalDpi xmlns:a14="http://schemas.microsoft.com/office/drawing/2010/main" val="0"/>
                      </a:ext>
                    </a:extLst>
                  </a:blip>
                  <a:stretch>
                    <a:fillRect/>
                  </a:stretch>
                </pic:blipFill>
                <pic:spPr>
                  <a:xfrm>
                    <a:off x="0" y="0"/>
                    <a:ext cx="1209675" cy="104775"/>
                  </a:xfrm>
                  <a:prstGeom prst="rect">
                    <a:avLst/>
                  </a:prstGeom>
                </pic:spPr>
              </pic:pic>
            </a:graphicData>
          </a:graphic>
        </wp:inline>
      </w:drawing>
    </w:r>
    <w:r>
      <w:tab/>
    </w:r>
    <w:r>
      <w:tab/>
    </w:r>
    <w:r w:rsidR="004E5EFD">
      <w:rPr>
        <w:rFonts w:cstheme="majorHAnsi"/>
        <w:sz w:val="12"/>
        <w:szCs w:val="12"/>
      </w:rPr>
      <w:t>Canvas LTI Integration Contract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BA525" w14:textId="77777777" w:rsidR="00D043FC" w:rsidRDefault="00D043FC" w:rsidP="004E5EFD">
      <w:pPr>
        <w:spacing w:after="0" w:line="240" w:lineRule="auto"/>
      </w:pPr>
      <w:r>
        <w:separator/>
      </w:r>
    </w:p>
  </w:footnote>
  <w:footnote w:type="continuationSeparator" w:id="0">
    <w:p w14:paraId="7CE8B9CF" w14:textId="77777777" w:rsidR="00D043FC" w:rsidRDefault="00D043FC" w:rsidP="004E5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88A2E" w14:textId="5813BE60" w:rsidR="004170A8" w:rsidRDefault="004170A8">
    <w:pPr>
      <w:pStyle w:val="Header"/>
    </w:pPr>
    <w:r w:rsidRPr="00166578">
      <w:rPr>
        <w:rFonts w:ascii="Cambria" w:eastAsia="Times New Roman" w:hAnsi="Cambria" w:cs="Times New Roman"/>
        <w:b/>
        <w:smallCaps/>
        <w:color w:val="000000"/>
        <w:sz w:val="24"/>
        <w:szCs w:val="32"/>
        <w:u w:val="single"/>
      </w:rPr>
      <w:t xml:space="preserve">University of Washington - learning management system “LTI” integration </w:t>
    </w:r>
    <w:r>
      <w:rPr>
        <w:rFonts w:ascii="Cambria" w:eastAsia="Times New Roman" w:hAnsi="Cambria" w:cs="Times New Roman"/>
        <w:b/>
        <w:smallCaps/>
        <w:color w:val="000000"/>
        <w:sz w:val="24"/>
        <w:szCs w:val="32"/>
        <w:u w:val="single"/>
      </w:rPr>
      <w:t>Contract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1A15"/>
    <w:multiLevelType w:val="hybridMultilevel"/>
    <w:tmpl w:val="934414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6E368D"/>
    <w:multiLevelType w:val="hybridMultilevel"/>
    <w:tmpl w:val="ABAA36D6"/>
    <w:lvl w:ilvl="0" w:tplc="9A2CF1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651970"/>
    <w:multiLevelType w:val="hybridMultilevel"/>
    <w:tmpl w:val="322A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F5"/>
    <w:rsid w:val="00030DB8"/>
    <w:rsid w:val="00034C8D"/>
    <w:rsid w:val="000B590F"/>
    <w:rsid w:val="0012158B"/>
    <w:rsid w:val="00166578"/>
    <w:rsid w:val="00172467"/>
    <w:rsid w:val="00277619"/>
    <w:rsid w:val="00322B5F"/>
    <w:rsid w:val="00376726"/>
    <w:rsid w:val="003C3085"/>
    <w:rsid w:val="003C686B"/>
    <w:rsid w:val="004170A8"/>
    <w:rsid w:val="004236F5"/>
    <w:rsid w:val="004E5EFD"/>
    <w:rsid w:val="005858CD"/>
    <w:rsid w:val="005C08A6"/>
    <w:rsid w:val="005D2FDB"/>
    <w:rsid w:val="005E18CA"/>
    <w:rsid w:val="00626DB3"/>
    <w:rsid w:val="006A7E2E"/>
    <w:rsid w:val="0096197F"/>
    <w:rsid w:val="00981416"/>
    <w:rsid w:val="009A4889"/>
    <w:rsid w:val="009F24A0"/>
    <w:rsid w:val="00A27EE1"/>
    <w:rsid w:val="00C03683"/>
    <w:rsid w:val="00C0594B"/>
    <w:rsid w:val="00D043FC"/>
    <w:rsid w:val="00D27BB0"/>
    <w:rsid w:val="00D61122"/>
    <w:rsid w:val="00EC35DD"/>
    <w:rsid w:val="00F57E86"/>
    <w:rsid w:val="00FB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F855"/>
  <w15:chartTrackingRefBased/>
  <w15:docId w15:val="{660BD9DA-00D0-4C9E-9221-34410C8D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767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E5E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672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767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6726"/>
    <w:rPr>
      <w:color w:val="0000FF"/>
      <w:u w:val="single"/>
    </w:rPr>
  </w:style>
  <w:style w:type="paragraph" w:styleId="ListParagraph">
    <w:name w:val="List Paragraph"/>
    <w:basedOn w:val="Normal"/>
    <w:uiPriority w:val="34"/>
    <w:qFormat/>
    <w:rsid w:val="00376726"/>
    <w:pPr>
      <w:ind w:left="720"/>
      <w:contextualSpacing/>
    </w:pPr>
  </w:style>
  <w:style w:type="character" w:customStyle="1" w:styleId="Heading3Char">
    <w:name w:val="Heading 3 Char"/>
    <w:basedOn w:val="DefaultParagraphFont"/>
    <w:link w:val="Heading3"/>
    <w:uiPriority w:val="9"/>
    <w:semiHidden/>
    <w:rsid w:val="004E5EFD"/>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unhideWhenUsed/>
    <w:rsid w:val="004E5EFD"/>
    <w:pPr>
      <w:tabs>
        <w:tab w:val="center" w:pos="4680"/>
        <w:tab w:val="right" w:pos="9360"/>
      </w:tabs>
      <w:spacing w:after="120" w:line="276" w:lineRule="auto"/>
    </w:pPr>
    <w:rPr>
      <w:rFonts w:ascii="Arial" w:eastAsia="Times New Roman" w:hAnsi="Arial" w:cs="Times New Roman"/>
      <w:sz w:val="16"/>
      <w:szCs w:val="24"/>
    </w:rPr>
  </w:style>
  <w:style w:type="character" w:customStyle="1" w:styleId="FooterChar">
    <w:name w:val="Footer Char"/>
    <w:basedOn w:val="DefaultParagraphFont"/>
    <w:link w:val="Footer"/>
    <w:uiPriority w:val="99"/>
    <w:rsid w:val="004E5EFD"/>
    <w:rPr>
      <w:rFonts w:ascii="Arial" w:eastAsia="Times New Roman" w:hAnsi="Arial" w:cs="Times New Roman"/>
      <w:sz w:val="16"/>
      <w:szCs w:val="24"/>
    </w:rPr>
  </w:style>
  <w:style w:type="paragraph" w:styleId="Header">
    <w:name w:val="header"/>
    <w:basedOn w:val="Normal"/>
    <w:link w:val="HeaderChar"/>
    <w:uiPriority w:val="99"/>
    <w:unhideWhenUsed/>
    <w:rsid w:val="004E5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EFD"/>
  </w:style>
  <w:style w:type="character" w:styleId="CommentReference">
    <w:name w:val="annotation reference"/>
    <w:basedOn w:val="DefaultParagraphFont"/>
    <w:uiPriority w:val="99"/>
    <w:semiHidden/>
    <w:unhideWhenUsed/>
    <w:rsid w:val="00C03683"/>
    <w:rPr>
      <w:sz w:val="16"/>
      <w:szCs w:val="16"/>
    </w:rPr>
  </w:style>
  <w:style w:type="paragraph" w:styleId="CommentText">
    <w:name w:val="annotation text"/>
    <w:basedOn w:val="Normal"/>
    <w:link w:val="CommentTextChar"/>
    <w:uiPriority w:val="99"/>
    <w:semiHidden/>
    <w:unhideWhenUsed/>
    <w:rsid w:val="00C03683"/>
    <w:pPr>
      <w:spacing w:line="240" w:lineRule="auto"/>
    </w:pPr>
    <w:rPr>
      <w:sz w:val="20"/>
      <w:szCs w:val="20"/>
    </w:rPr>
  </w:style>
  <w:style w:type="character" w:customStyle="1" w:styleId="CommentTextChar">
    <w:name w:val="Comment Text Char"/>
    <w:basedOn w:val="DefaultParagraphFont"/>
    <w:link w:val="CommentText"/>
    <w:uiPriority w:val="99"/>
    <w:semiHidden/>
    <w:rsid w:val="00C03683"/>
    <w:rPr>
      <w:sz w:val="20"/>
      <w:szCs w:val="20"/>
    </w:rPr>
  </w:style>
  <w:style w:type="paragraph" w:styleId="CommentSubject">
    <w:name w:val="annotation subject"/>
    <w:basedOn w:val="CommentText"/>
    <w:next w:val="CommentText"/>
    <w:link w:val="CommentSubjectChar"/>
    <w:uiPriority w:val="99"/>
    <w:semiHidden/>
    <w:unhideWhenUsed/>
    <w:rsid w:val="00C03683"/>
    <w:rPr>
      <w:b/>
      <w:bCs/>
    </w:rPr>
  </w:style>
  <w:style w:type="character" w:customStyle="1" w:styleId="CommentSubjectChar">
    <w:name w:val="Comment Subject Char"/>
    <w:basedOn w:val="CommentTextChar"/>
    <w:link w:val="CommentSubject"/>
    <w:uiPriority w:val="99"/>
    <w:semiHidden/>
    <w:rsid w:val="00C03683"/>
    <w:rPr>
      <w:b/>
      <w:bCs/>
      <w:sz w:val="20"/>
      <w:szCs w:val="20"/>
    </w:rPr>
  </w:style>
  <w:style w:type="paragraph" w:styleId="BalloonText">
    <w:name w:val="Balloon Text"/>
    <w:basedOn w:val="Normal"/>
    <w:link w:val="BalloonTextChar"/>
    <w:uiPriority w:val="99"/>
    <w:semiHidden/>
    <w:unhideWhenUsed/>
    <w:rsid w:val="00C03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6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331204">
      <w:bodyDiv w:val="1"/>
      <w:marLeft w:val="0"/>
      <w:marRight w:val="0"/>
      <w:marTop w:val="0"/>
      <w:marBottom w:val="0"/>
      <w:divBdr>
        <w:top w:val="none" w:sz="0" w:space="0" w:color="auto"/>
        <w:left w:val="none" w:sz="0" w:space="0" w:color="auto"/>
        <w:bottom w:val="none" w:sz="0" w:space="0" w:color="auto"/>
        <w:right w:val="none" w:sz="0" w:space="0" w:color="auto"/>
      </w:divBdr>
      <w:divsChild>
        <w:div w:id="1533151102">
          <w:marLeft w:val="0"/>
          <w:marRight w:val="0"/>
          <w:marTop w:val="0"/>
          <w:marBottom w:val="0"/>
          <w:divBdr>
            <w:top w:val="none" w:sz="0" w:space="0" w:color="auto"/>
            <w:left w:val="none" w:sz="0" w:space="0" w:color="auto"/>
            <w:bottom w:val="none" w:sz="0" w:space="0" w:color="auto"/>
            <w:right w:val="none" w:sz="0" w:space="0" w:color="auto"/>
          </w:divBdr>
        </w:div>
        <w:div w:id="1797483645">
          <w:marLeft w:val="0"/>
          <w:marRight w:val="0"/>
          <w:marTop w:val="0"/>
          <w:marBottom w:val="0"/>
          <w:divBdr>
            <w:top w:val="none" w:sz="0" w:space="0" w:color="auto"/>
            <w:left w:val="none" w:sz="0" w:space="0" w:color="auto"/>
            <w:bottom w:val="none" w:sz="0" w:space="0" w:color="auto"/>
            <w:right w:val="none" w:sz="0" w:space="0" w:color="auto"/>
          </w:divBdr>
        </w:div>
        <w:div w:id="708988910">
          <w:marLeft w:val="0"/>
          <w:marRight w:val="0"/>
          <w:marTop w:val="0"/>
          <w:marBottom w:val="0"/>
          <w:divBdr>
            <w:top w:val="none" w:sz="0" w:space="0" w:color="auto"/>
            <w:left w:val="none" w:sz="0" w:space="0" w:color="auto"/>
            <w:bottom w:val="none" w:sz="0" w:space="0" w:color="auto"/>
            <w:right w:val="none" w:sz="0" w:space="0" w:color="auto"/>
          </w:divBdr>
        </w:div>
        <w:div w:id="150566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Li</dc:creator>
  <cp:keywords/>
  <dc:description/>
  <cp:lastModifiedBy>ACA Admin</cp:lastModifiedBy>
  <cp:revision>3</cp:revision>
  <cp:lastPrinted>2016-12-13T21:19:00Z</cp:lastPrinted>
  <dcterms:created xsi:type="dcterms:W3CDTF">2017-01-09T20:38:00Z</dcterms:created>
  <dcterms:modified xsi:type="dcterms:W3CDTF">2017-01-27T23:29:00Z</dcterms:modified>
</cp:coreProperties>
</file>